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VI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за множествен избор, "вярно-невярно" и с отворен отговор.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VI модул (БИК)" въвежда студентите в особеностите на международния бизнес с използване на немски език. За целта се преминават различните етапи на международна търговска сделка (запитване, съставяне и изпращане на оферта, потвърждение на поръчка, рекламация и др.). Обръща се специално внимание на междукултурните аспекти на комуникацията на чужд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владеене на немски език на ниво В1 (минимално А2) и знания по международен бизнес, придобити по време на обучението по икономика. За работа със системата за интерактивно дистанционно обучение са необходими умения за използване на компютър и системата за електронно обучение Moodle.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се запознават с особеностите на международните търговски сделки и могат да водят делова кореспонденция на немски език и да съставят търговски документи на чуждия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LMU München,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Mosbach,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Interkulturelle Kommunikation auf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Regeln zur deutschen Handelskorrespondenz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Existenzgründung: Firma, Geschäftsbereich und Produkt wählen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Einstieg in das internationale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Kontaktaufnahme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Deutsch B1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Module 6 (BE). Tsenov Publishing House. Svishtov.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Eismann, Volker: Erfolgreich in der geschäftlichen Korrespondenz. Cornelsen. Berlin.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Mein Arbeitsplatz / Goethe-Institut München https://www.goethe.de/de/spr/ueb/daa/brf/dib/ww0/ww1.html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