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VII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участниците теоретични и практически знания и умения в ключови области на международния бизнес, финанси и управлението на риска. Курсът е насочен към развиване на компетентности за ефективно водене на преговори, управление на клиентските взаимоотношения, разбиране на процесите в международната търговия, монетарната политика и централното банкиране, както и идентифициране и управление на различни бизнес рискове. Обучението ще помогне на обучаемите да усвоят умения за писмена бизнес комуникация, аналитично мислене и прилагане на стратегически подходи в реални бизнес ситуации.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курса, участниците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разпознават и прилагат различни стилове на преговори в зависимост от културния и бизнес контекст;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подготвят стратегии за ефективна преговорна подготовка и използват подходящи подходи към международните преговори;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изготвят и оформят професионални имейли, съобразени с правилата за академично писане;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принципите на управление на взаимоотношенията с клиенти за подобряване на клиентския опит и удовлетвореност;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обясняват основните принципи на международната търговия и различните теоретични подходи, включително исторически и икономически фактори;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и обсъждат концепциите за либерализъм и протекционизъм в глобалния търговски контекст;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и обсъждат концепциите за либерализъм и протекционизъм в глобалния търговски контекст;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прогнозират бъдещи тенденции в международната търговия, като се основават на исторически данни и анализи;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обясняват ролята на Международния валутен фонд (МВФ) в подкрепата на ефективните централнобанкови рамки и финансовите стабилности;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връзката между монетарната политика и икономическите цели на държавите;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факторите за успешни сливания и процесите на необходимото проучване (due diligence).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ВОДЕНЕ НА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Стилове на преговори. Стратегии за подготовка на преговори. Различни подходи към международните преговори.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ОБСЛУЖВАНЕ НА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на взаимоотношенията с клиенти. Потребителски опит.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Търговия между нациите. Исторически преглед. Либерализъм и възраждане на протекционизма. Международна търговия. Граматика - Бъдеще в миналото.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ЦЕНТРАЛНО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Парична политика и централно банкиране. Как МВФ подкрепя ефективните рамки на централната банка.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РАСТЕЖ НА КОМПАНИЯ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Сливания, поглъщания и изкупувания. Успешно сливане. Дю дилиджънс. Условни изречения.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АКАДЕМИЧНО ПИСАНЕ - ИМЕЙЛИ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Правила при писане на имейли. Въвеждащо "there" и "it".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управлението на риска. Пасиви с модални и други глаголи.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VII (BE)“ in the DL platform of D. A. Tsenov Academy of Economics,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VII (BE)“ distance learning coursebook, Academic Publishing House "Tsenov"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Pratten, J., (2009), Absolute Financial English, Delta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MacKenzie, I., (2007), Professional English in Use: Finance,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 (2022), Language Practice for C1 Advanced, Macmillan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 (2013), Advanced Grammar in Use.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VII (IER)“ distance learning coursebook, Academic Publishing House "Tsenov",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VIII (IER)“ distance learning coursebook, Academic Publishing House "Tsenov",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https://economictimes.indiatimes.com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Радка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