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участниците теоретични и практически знания и умения в ключови области на международния бизнес, финанси и управлението на риска. Курсът е насочен към развиване на компетентности за ефективно водене на преговори, управление на клиентските взаимоотношения, разбиране на процесите в международната търговия, монетарната политика и централното банкиране, както и идентифициране и управление на различни бизнес рискове. Обучението ще помогне на обучаемите да усвоят умения за писмена бизнес комуникация, аналитично мислене и прилагане на стратегически подходи в реални бизнес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курса, участниците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разпознават и прилагат различни стилове на преговори в зависимост от културния и бизнес контекст;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подготвят стратегии за ефективна преговорна подготовка и използват подходящи подходи към международните преговори;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изготвят и оформят професионални имейли, съобразени с правилата за академично писане;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принципите на управление на взаимоотношенията с клиенти за подобряване на клиентския опит и удовлетвореност;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основните принципи на международната търговия и различните теоретични подходи, включително исторически и икономически фактори;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и обсъждат концепциите за либерализъм и протекционизъм в глобалния търговски контекст;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и обсъждат концепциите за либерализъм и протекционизъм в глобалния търговски контекст;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прогнозират бъдещи тенденции в международната търговия, като се основават на исторически данни и анализи;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ролята на Международния валутен фонд (МВФ) в подкрепата на ефективните централнобанкови рамки и финансовите стабилности;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връзката между монетарната политика и икономическите цели на държавите;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факторите за успешни сливания и процесите на необходимото проучване (due diligence).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ВОДЕНЕ НА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Стилове на преговори. Стратегии за подготовка на преговори. Различни подходи към международните преговори. Академично писане - имейли.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ОБСЛУЖВАНЕ НА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на взаимоотношенията с клиенти. Потребителски опит.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Търговия между нациите. Исторически преглед. Либерализъм и възраждане на протекционизма. Международна търговия. Граматика - Бъдеще в миналото.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ЦЕНТРАЛНО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Парична политика и централно банкиране. Как МВФ подкрепя ефективните рамки на централната банка.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РАСТЕЖ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Сливания, поглъщания и изкупувания. Успешно сливане. Дю дилиджънс. Условни изречения.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управлението на риска. Застраховаеми рискове. Пасиви с модални и други глаголи.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ПРЕЗАСТРАХОВАНЕ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презастраховането. Произходът на презастраховането. Въвеждащо "there" и "it".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VIII (IB)“ in the DL platform of D. A. Tsenov Academy of Economics,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“English Language, Module VIII (IB)“ distance learning coursebook, Academic Publishing House "Tsenov"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– Book 1,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Pratten, J., (2009), Absolute Financial English, Delta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MacKenzie, I., (2007), Professional English in Use: Finance,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 (2022), Language Practice for C1 Advanced, Macmillan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 (2013), Advanced Grammar in Use.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Vasileva,R., One Step Ahead, Academic Publishing House "Tsenov".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https://economictimes.indiatimes.com/definition/risk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