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ЧУЖДОЕЗИКОВО ОБУЧЕНИЕ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31.08.2022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Немски език IV модул (Туризъм)</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ФФ-КЧЕО-Б-477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2</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ФФ-КЧЕО-Б-477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22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22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11</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11</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11</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70%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Изпитният тест съдържа лексически и граматически задачи от типа "Изберете един верен отговор" и "Вярно/Невярно".</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30%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„Немски език IV модул (Туризъм)“ е включена в учебния план на специалност „Икономика на туризма” (съвместна програма) в „ОКС „Бакалавър“,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
</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"Немски език ІV модул (Туризъм)"за специалност "Икономика на туризма" е насочена към практическо използването на немския език в областта на икономиката. Студентите се запознават с икономически термини на немски език и със съвременния модерния стил за водене на търговска кореспонденция на немски език. Получените знания се използват при извършване на проучвания на икономически данни от немски предприятия, при презентиране на продукти и услуги и при съставяне на търговски писма и оферти.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Изискват се комуникативни умения и владеене на немски език - минимално ниво А2, препоръчително В1 по Общата европейска езикова рамка. За работата със интерактивната система за обучение в средата Moodle са необходими умения за самостоятелна работа с компютър и интернет.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във вид на синхронни лекции и семинарни занятия във виртуални класни стаи.
</w:t>
      </w:r>
    </w:p>
    <w:p w14:paraId="0510FAB4" w14:textId="488C766D"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от обучението по дисциплината "Немски език IV модул" се придобиват уменията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събиране на икономическа информация от различни публично достъпни източници,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комуникиране с колеги, клиенти и институции по време на практика или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водене на търговска кореспонденция на немски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представяне на немски език на продукти, услуги или собственото предприятие/институция.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УНСС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ИУ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Русенски университет</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Въведение: Многоезичието в бизнес комуникациите на чужд език</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Alles rund ums Geld: das Geld und seine Funktionen, Redewendungen mit Geld, eine Geldanlage wählen, das Passiv im Wirtschaftsdeutsch</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Marketing: ein Produkt beschreiben, Vermutungen und Prognosen ausdrücken, Diagramme verstehen, eine Umfrage machen</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Geschäftliche Kommunikation: Kommunikation in beruflichen Situationen, Business Etikette, Konjunktiv II als Höflichkeitsform</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Internationaler Handel: Fachwortschatz, Rabattarten, Funktionsverben, Zahlungs- und Lieferbedingungen</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Deutsch in der Praxis: Fachtexte verstehen, Wortschatz im Beruf, Korrespondenz führen</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Решаване на примерен изпитен тест Deutsch Beruf B1 plus</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0</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Авторски софтуер Hot Potatoes https://hotpot.uvic.ca/</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Майкрософт Офис или Либре Офис (Writer, Calc, Impress)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Monev V.: Business Deutsch distant learning. АИ "Ценов". 2020 г. (учебник)</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TELC Language Tests: Übungstest 1 Deutsch Beruf B1 plus. Frankfurt am Main.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Монев, В.: Многоезичието в бизнес комуникациите. Монография. Библиотека "Образование и наука". Свищов. 2015</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Портал Deutsch am Arbeitsplatz на Гьоте-Институт Германия https://www.goethe.de/de/spr/ueb/daa.html</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ст. преп. д-р Виктор Монев)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ст. преп. Елка Узунова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