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IV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„Бинес икономика” за тяхната пълноценна професионална реализация в бизнес сферата. Това предполага усвояването на един основен набор от  от езикови умения и компетенции, включващи свободно боравене със специализирана терминология; работа със специализирани текстове и документи на английски език; водене на кореспонденция с партньори и клиенти; устно общуване – презентиции, водене на диалог, участие в дискусии; извличане на информация от съобщения, новини, репортажи, интервюта и др. и четене с разбиране на специализирана литература и работа с интернет източници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обучение, студентите трябва да умеят: при слушане да разбират същественото по познати за тях теми, когато информацията е поднесена на ясен книжовен език; при четене да разбират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или интересни за тях теми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 от съобщения, рекламни материали и др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СУ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Raising FinanceGrammar Focus:  Academic Writing: Emailing (formal / informal emails)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Social ResponsibilityGrammar Focus: Academic Writing: Essay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Ethical Issues in MarketingGrammar Focus: Academic Writing: Essay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Crisis ManagementGrammar Focus: Academic Writing: Report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NegotiationsGrammar Focus: Academic Writing: Proposal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Public Relations and EthicsGrammar Focus: Academic Writing: Article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Cultural DifferencesGrammar Focus: Communication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Business Review, Faber,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Longman Dictionary of Contemporary English,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HEWINGS, M., Advanced Grammar in Use, Cambridge University Press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English for Economics and Business, Part II,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English for Economics and Business, Part I,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Business Overview, Faber,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Венцислав Диков)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