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 част се базира на знанията, получени в шеста част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Директни инструкции, ролеви игри, демонстрации, работа по двойки и в групи, групови проекти, индивидуална работа с учебника.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Интерактивни упражнения в Интернет, решаване на учебни казуси.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Индивидуална работа с икономически текстове (графика и видео).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Синхронна и асинхронна комуникация със студентите на платформата за дистанционно обучение на Стопанска академия "Д.А. Ценов" - Свищов с адрес: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КЧЕО-Б-406 Руски език- VII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