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VI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международните икономически отношения: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VI част се базира на знанията, получени в пета част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Директни инструкции, ролеви игри, демонстрации, работа по двойки и в групи, групови проекти, индивидуална работа с учебника.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Интерактивни упражнения в Интернет, решаване на учебни казуси.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Индивидуална работа с икономически текстове (графика и видео).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Синхронна и асинхронна комуникация със студентите на платформата за дистанционно обучение на Стопанска академия "Д.А. Ценов" - Свищов с адрес: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существительных в ед. числе. Основные значения: принадлежность, характеристика, часть целого. Вопросы.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основные значения (продолжение): мера и количество, отрицание. Окончания имён прилагательных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Личные местоимения в Родительном падеже. Обозначение количества в сочетании с числительными. Окончания существительных в Р.п. мн.ч.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Родительный падеж - окончания имён прилагательных во мн. числе. Обозначение месяца в дате.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Выражение времени действия или события - Когда? Часовое время. Употребление Родительного падежа с предлогами.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Предлоги с Родительным падежом – продолжение. Притяжательные местоимения в Р.п.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Сопоставление предлогов: движение с направлением, местонахождение, движение обратно.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КЧЕО-Б-405 Руски език- VI част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