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международните икономически отношения: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 част се базира на знанията, получени в пета част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Директни инструкции, ролеви игри, демонстрации, работа по двойки и в групи, групови проекти, индивидуална работа с учебника.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Интерактивни упражнения в Интернет, решаване на учебни казуси.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Индивидуална работа с икономически текстове (графика и видео).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Синхронна и асинхронна комуникация със студентите на платформата за дистанционно обучение на Стопанска академия "Д.А. Ценов" - Свищов с адрес: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существительных в ед. числе. Основные значения: принадлежность, характеристика, часть целого.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основные значения (продолжение): мера и количество, отрицание. Окончания имён прилагательных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Родительном падеже. Обозначение количества в сочетании с числительными. Окончания существительных в Р.п. мн.ч.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прилагательных во мн. числе. Обозначение месяца в дате.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Выражение времени действия или события - Когда? Часовое время. Употребление Родительного падежа с предлогами.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Предлоги с Родительным падежом – продолжение. Притяжательные местоимения в Р.п.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Сопоставление предлогов: движение с направлением, местонахождение, движение обратно.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КЧЕО-Б-405 Руски език- VI част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