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IV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 и в частност на туризма: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със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IV модул се базира на знанията, получени в трети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новини, репортажи,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окончания имён существительных в ед. числе. Основные значения: принадлежность, характеристика, часть целого. Вопросы.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основные значения (продолжение): мера и количество, отрицание. Окончания имён прилагательных в ед.ч.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 в Родительном падеже. Обозначение количества в сочетании с числительными. Окончания существительных в Р.п. мн.ч.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Родительный падеж - окончания имён прилагательных во мн. числе. Обозначение месяца в дате.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Выражение времени действия или события - Когда? Часовое время. Употребление Родительного падежа с предлогами.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Предлоги с Родительным падежом – продолжение. Притяжательные местоимения в Р.п.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Сопоставление предлогов: движение с направлением, местонахождение, движение обратно.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