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ФИНАНСИ И КРЕДИТ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19.12.2024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9</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11.12.2024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Държавен изпит по Финансов мениджмънт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ФФ-КФК-М-903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ФФ-КФК-М-903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0936259C" w:rsidR="00A34223"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7D4D7629" w14:textId="77777777" w:rsidR="009A1AF2" w:rsidRDefault="009A1AF2" w:rsidP="00A34223">
      <w:pPr>
        <w:spacing w:line="240" w:lineRule="exact"/>
        <w:jc w:val="both"/>
        <w:rPr>
          <w:rFonts w:ascii="Times New Roman" w:hAnsi="Times New Roman"/>
          <w:b/>
          <w:bCs/>
          <w:sz w:val="28"/>
          <w:szCs w:val="28"/>
          <w:lang w:val="bg-BG"/>
        </w:rPr>
      </w:pPr>
    </w:p>
    <w:tbl>
      <w:tblPr>
        <w:tblStyle w:val="TableGrid"/>
        <w:tblW w:w="0" w:type="auto"/>
        <w:tblInd w:w="279" w:type="dxa"/>
        <w:tblCellMar>
          <w:top w:w="57" w:type="dxa"/>
          <w:bottom w:w="57" w:type="dxa"/>
        </w:tblCellMar>
        <w:tblLook w:val="04A0" w:firstRow="1" w:lastRow="0" w:firstColumn="1" w:lastColumn="0" w:noHBand="0" w:noVBand="1"/>
      </w:tblPr>
      <w:tblGrid>
        <w:gridCol w:w="5528"/>
        <w:gridCol w:w="4955"/>
      </w:tblGrid>
      <w:tr w:rsidR="002E5D93" w14:paraId="0334B26F" w14:textId="77777777" w:rsidTr="009A1AF2">
        <w:tc>
          <w:tcPr>
            <w:tcW w:w="5528" w:type="dxa"/>
            <w:shd w:val="clear" w:color="auto" w:fill="D9D9D9" w:themeFill="background1" w:themeFillShade="D9"/>
            <w:vAlign w:val="center"/>
          </w:tcPr>
          <w:p w14:paraId="4143D0BA" w14:textId="42662DE5"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Учебна заетост</w:t>
            </w:r>
          </w:p>
        </w:tc>
        <w:tc>
          <w:tcPr>
            <w:tcW w:w="4955" w:type="dxa"/>
            <w:shd w:val="clear" w:color="auto" w:fill="D9D9D9" w:themeFill="background1" w:themeFillShade="D9"/>
            <w:vAlign w:val="center"/>
          </w:tcPr>
          <w:p w14:paraId="61AB49A2" w14:textId="19E56B0A"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Часове</w:t>
            </w:r>
          </w:p>
        </w:tc>
      </w:tr>
      <w:tr w:rsidR="002E5D93" w14:paraId="15371989" w14:textId="77777777" w:rsidTr="009A1AF2">
        <w:tc>
          <w:tcPr>
            <w:tcW w:w="5528" w:type="dxa"/>
            <w:vAlign w:val="center"/>
          </w:tcPr>
          <w:p w14:paraId="17ADF2FD" w14:textId="5A66E7D3" w:rsidR="002E5D93" w:rsidRPr="002E5D93" w:rsidRDefault="00C861C6" w:rsidP="009A1AF2">
            <w:pPr>
              <w:spacing w:line="240" w:lineRule="exact"/>
              <w:jc w:val="center"/>
              <w:rPr>
                <w:rFonts w:ascii="Times New Roman" w:hAnsi="Times New Roman"/>
                <w:b/>
                <w:bCs/>
                <w:sz w:val="24"/>
                <w:szCs w:val="24"/>
                <w:lang w:val="bg-BG"/>
              </w:rPr>
            </w:pPr>
            <w:proofErr w:type="spellStart"/>
            <w:r w:rsidRPr="00C861C6">
              <w:rPr>
                <w:rFonts w:ascii="Times New Roman" w:hAnsi="Times New Roman"/>
                <w:b/>
                <w:sz w:val="24"/>
                <w:szCs w:val="24"/>
              </w:rPr>
              <w:t>Извънаудиторна</w:t>
            </w:r>
            <w:proofErr w:type="spellEnd"/>
            <w:r w:rsidR="002E5D93">
              <w:rPr>
                <w:rFonts w:ascii="Times New Roman" w:hAnsi="Times New Roman"/>
                <w:b/>
                <w:bCs/>
                <w:sz w:val="24"/>
                <w:szCs w:val="24"/>
                <w:lang w:val="bg-BG"/>
              </w:rPr>
              <w:t xml:space="preserve"> заетост (ИАЗ)</w:t>
            </w:r>
          </w:p>
        </w:tc>
        <w:tc>
          <w:tcPr>
            <w:tcW w:w="4955" w:type="dxa"/>
            <w:vAlign w:val="center"/>
          </w:tcPr>
          <w:p w14:paraId="074FA344" w14:textId="77777777" w:rsidR="002E5D93" w:rsidRPr="002E5D93" w:rsidRDefault="002E5D93" w:rsidP="009A1AF2">
            <w:pPr>
              <w:spacing w:line="240" w:lineRule="exact"/>
              <w:jc w:val="center"/>
              <w:rPr>
                <w:rFonts w:ascii="Times New Roman" w:hAnsi="Times New Roman"/>
                <w:b/>
                <w:bCs/>
                <w:sz w:val="24"/>
                <w:szCs w:val="24"/>
                <w:lang w:val="bg-BG"/>
              </w:rPr>
            </w:pPr>
          </w:p>
        </w:tc>
      </w:tr>
      <w:tr w:rsidR="002E5D93" w14:paraId="13D7CF1E" w14:textId="77777777" w:rsidTr="009A1AF2">
        <w:tc>
          <w:tcPr>
            <w:tcW w:w="5528" w:type="dxa"/>
            <w:vAlign w:val="center"/>
          </w:tcPr>
          <w:p w14:paraId="7DDB4839" w14:textId="6DF3777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Самостоятелна работа</w:t>
            </w:r>
          </w:p>
        </w:tc>
        <w:tc>
          <w:tcPr>
            <w:tcW w:w="4955" w:type="dxa"/>
            <w:vAlign w:val="center"/>
          </w:tcPr>
          <w:p w14:paraId="606EC065" w14:textId="0294C7AC" w:rsidR="002E5D93" w:rsidRPr="00F600F5" w:rsidRDefault="002870BC" w:rsidP="009A1AF2">
            <w:pPr>
              <w:spacing w:line="240" w:lineRule="exact"/>
              <w:jc w:val="center"/>
              <w:rPr>
                <w:rFonts w:ascii="Times New Roman" w:hAnsi="Times New Roman"/>
                <w:bCs/>
                <w:sz w:val="24"/>
                <w:szCs w:val="24"/>
              </w:rPr>
            </w:pPr>
            <w:r w:rsidRPr="00F600F5">
              <w:rPr>
                <w:rFonts w:ascii="Times New Roman" w:hAnsi="Times New Roman"/>
                <w:bCs/>
                <w:sz w:val="24"/>
                <w:szCs w:val="24"/>
                <w:lang w:val="bg-BG"/>
              </w:rPr>
              <w:t>375</w:t>
            </w:r>
          </w:p>
        </w:tc>
      </w:tr>
      <w:tr w:rsidR="002E5D93" w14:paraId="3AB3DC8B" w14:textId="77777777" w:rsidTr="009A1AF2">
        <w:tc>
          <w:tcPr>
            <w:tcW w:w="5528" w:type="dxa"/>
            <w:vAlign w:val="center"/>
          </w:tcPr>
          <w:p w14:paraId="59315F01" w14:textId="5783ED19" w:rsidR="002E5D93" w:rsidRPr="009A1AF2" w:rsidRDefault="00487F0F" w:rsidP="009A1AF2">
            <w:pPr>
              <w:pStyle w:val="ListParagraph"/>
              <w:numPr>
                <w:ilvl w:val="0"/>
                <w:numId w:val="12"/>
              </w:numPr>
              <w:spacing w:line="240" w:lineRule="exact"/>
              <w:rPr>
                <w:rFonts w:ascii="Times New Roman" w:hAnsi="Times New Roman"/>
                <w:bCs/>
                <w:sz w:val="24"/>
                <w:szCs w:val="24"/>
                <w:lang w:val="bg-BG"/>
              </w:rPr>
            </w:pPr>
            <w:r w:rsidRPr="00487F0F">
              <w:rPr>
                <w:rFonts w:ascii="Times New Roman" w:hAnsi="Times New Roman" w:hint="eastAsia"/>
                <w:bCs/>
                <w:sz w:val="24"/>
                <w:szCs w:val="24"/>
                <w:lang w:val="bg-BG"/>
              </w:rPr>
              <w:t>Онлайн</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тестове</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модули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за</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самоподготовка</w:t>
            </w:r>
          </w:p>
        </w:tc>
        <w:tc>
          <w:tcPr>
            <w:tcW w:w="4955" w:type="dxa"/>
            <w:vAlign w:val="center"/>
          </w:tcPr>
          <w:p w14:paraId="5616908A" w14:textId="24678841" w:rsidR="002E5D93" w:rsidRPr="00F600F5" w:rsidRDefault="008D4D57" w:rsidP="009A1AF2">
            <w:pPr>
              <w:spacing w:line="240" w:lineRule="exact"/>
              <w:jc w:val="center"/>
              <w:rPr>
                <w:rFonts w:ascii="Times New Roman" w:hAnsi="Times New Roman"/>
                <w:bCs/>
                <w:sz w:val="24"/>
                <w:szCs w:val="24"/>
              </w:rPr>
            </w:pPr>
            <w:r w:rsidRPr="00F600F5">
              <w:rPr>
                <w:rFonts w:ascii="Times New Roman" w:hAnsi="Times New Roman"/>
                <w:bCs/>
                <w:sz w:val="24"/>
                <w:szCs w:val="24"/>
              </w:rPr>
              <w:t>0</w:t>
            </w:r>
          </w:p>
        </w:tc>
      </w:tr>
      <w:tr w:rsidR="002E5D93" w14:paraId="73D517D4" w14:textId="77777777" w:rsidTr="009A1AF2">
        <w:tc>
          <w:tcPr>
            <w:tcW w:w="5528" w:type="dxa"/>
            <w:shd w:val="clear" w:color="auto" w:fill="D9D9D9" w:themeFill="background1" w:themeFillShade="D9"/>
            <w:vAlign w:val="center"/>
          </w:tcPr>
          <w:p w14:paraId="2120953E" w14:textId="1E015EE7" w:rsidR="002E5D93" w:rsidRPr="00C861C6" w:rsidRDefault="009A1AF2" w:rsidP="00C861C6">
            <w:pPr>
              <w:spacing w:line="240" w:lineRule="exact"/>
              <w:ind w:left="1416"/>
              <w:jc w:val="right"/>
              <w:rPr>
                <w:rFonts w:ascii="Times New Roman" w:hAnsi="Times New Roman"/>
                <w:b/>
                <w:bCs/>
                <w:sz w:val="24"/>
                <w:szCs w:val="24"/>
              </w:rPr>
            </w:pPr>
            <w:r>
              <w:rPr>
                <w:rFonts w:ascii="Times New Roman" w:hAnsi="Times New Roman"/>
                <w:b/>
                <w:bCs/>
                <w:sz w:val="24"/>
                <w:szCs w:val="24"/>
                <w:lang w:val="bg-BG"/>
              </w:rPr>
              <w:t>Всички:</w:t>
            </w:r>
            <w:r w:rsidR="00C861C6">
              <w:rPr>
                <w:rFonts w:ascii="Times New Roman" w:hAnsi="Times New Roman"/>
                <w:b/>
                <w:bCs/>
                <w:sz w:val="24"/>
                <w:szCs w:val="24"/>
              </w:rPr>
              <w:t xml:space="preserve">  </w:t>
            </w:r>
          </w:p>
        </w:tc>
        <w:tc>
          <w:tcPr>
            <w:tcW w:w="4955" w:type="dxa"/>
            <w:shd w:val="clear" w:color="auto" w:fill="D9D9D9" w:themeFill="background1" w:themeFillShade="D9"/>
            <w:vAlign w:val="center"/>
          </w:tcPr>
          <w:p w14:paraId="7A0A2FB4" w14:textId="27FACEDD" w:rsidR="002E5D93" w:rsidRPr="008D4D57" w:rsidRDefault="008D4D57" w:rsidP="009A1AF2">
            <w:pPr>
              <w:spacing w:line="240" w:lineRule="exact"/>
              <w:jc w:val="center"/>
              <w:rPr>
                <w:rFonts w:ascii="Times New Roman" w:hAnsi="Times New Roman"/>
                <w:b/>
                <w:bCs/>
                <w:sz w:val="24"/>
                <w:szCs w:val="24"/>
              </w:rPr>
            </w:pPr>
            <w:r>
              <w:rPr>
                <w:rFonts w:ascii="Times New Roman" w:hAnsi="Times New Roman"/>
                <w:b/>
                <w:bCs/>
                <w:sz w:val="24"/>
                <w:szCs w:val="24"/>
              </w:rPr>
              <w:t>375</w:t>
            </w:r>
          </w:p>
        </w:tc>
      </w:tr>
    </w:tbl>
    <w:p w14:paraId="24EC4CD6" w14:textId="72C06B02" w:rsidR="00A34223" w:rsidRPr="00C861C6" w:rsidRDefault="00A34223" w:rsidP="00C861C6">
      <w:pPr>
        <w:rPr>
          <w:rFonts w:ascii="Times New Roman" w:hAnsi="Times New Roman"/>
          <w:b/>
          <w:sz w:val="28"/>
          <w:szCs w:val="24"/>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35A29105" w:rsidR="0007480B" w:rsidRDefault="0007480B" w:rsidP="00301027">
      <w:pPr>
        <w:jc w:val="center"/>
        <w:rPr>
          <w:rFonts w:ascii="Times New Roman" w:hAnsi="Times New Roman"/>
          <w:b/>
          <w:sz w:val="24"/>
          <w:szCs w:val="24"/>
          <w:lang w:val="bg-BG"/>
        </w:rPr>
      </w:pPr>
    </w:p>
    <w:tbl>
      <w:tblGrid>
        <w:gridCol/>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4"/>
                <w:szCs w:val="24"/>
                <w:b w:val="1"/>
                <w:bCs w:val="1"/>
              </w:rPr>
              <w:t xml:space="preserve">Критерий</w:t>
            </w:r>
          </w:p>
        </w:tc>
        <w:tc>
          <w:tcPr>
            <w:vAlign w:val="center"/>
            <w:shd w:val="clear" w:fill="dddddd"/>
          </w:tcPr>
          <w:p>
            <w:pPr>
              <w:jc w:val="center"/>
            </w:pPr>
            <w:r>
              <w:rPr>
                <w:rFonts w:ascii="Times New Roman" w:hAnsi="Times New Roman" w:eastAsia="Times New Roman" w:cs="Times New Roman"/>
                <w:sz w:val="24"/>
                <w:szCs w:val="24"/>
                <w:b w:val="1"/>
                <w:bCs w:val="1"/>
              </w:rPr>
              <w:t xml:space="preserve">Тежест на критерия</w:t>
              <w:br/>
              <w:t xml:space="preserve">(% от комплексната оценка)</w:t>
            </w:r>
          </w:p>
        </w:tc>
      </w:tr>
      <w:tr>
        <w:trPr/>
        <w:tc>
          <w:tcPr/>
          <w:p>
            <w:pPr/>
            <w:r>
              <w:rPr>
                <w:rFonts w:ascii="Times New Roman" w:hAnsi="Times New Roman" w:eastAsia="Times New Roman" w:cs="Times New Roman"/>
                <w:sz w:val="24"/>
                <w:szCs w:val="24"/>
              </w:rPr>
              <w:t xml:space="preserve">Резултати от държавен изпит - раздел първи</w:t>
            </w:r>
          </w:p>
        </w:tc>
        <w:tc>
          <w:tcPr/>
          <w:p>
            <w:pPr>
              <w:jc w:val="center"/>
            </w:pPr>
            <w:r>
              <w:rPr>
                <w:rFonts w:ascii="Times New Roman" w:hAnsi="Times New Roman" w:eastAsia="Times New Roman" w:cs="Times New Roman"/>
                <w:sz w:val="24"/>
                <w:szCs w:val="24"/>
              </w:rPr>
              <w:t xml:space="preserve">50%</w:t>
            </w:r>
          </w:p>
        </w:tc>
      </w:tr>
      <w:tr>
        <w:trPr/>
        <w:tc>
          <w:tcPr/>
          <w:p>
            <w:pPr/>
            <w:r>
              <w:rPr>
                <w:rFonts w:ascii="Times New Roman" w:hAnsi="Times New Roman" w:eastAsia="Times New Roman" w:cs="Times New Roman"/>
                <w:sz w:val="24"/>
                <w:szCs w:val="24"/>
              </w:rPr>
              <w:t xml:space="preserve">Резултати от държавен изпит - раздел втори</w:t>
            </w:r>
          </w:p>
        </w:tc>
        <w:tc>
          <w:tcPr/>
          <w:p>
            <w:pPr>
              <w:jc w:val="center"/>
            </w:pPr>
            <w:r>
              <w:rPr>
                <w:rFonts w:ascii="Times New Roman" w:hAnsi="Times New Roman" w:eastAsia="Times New Roman" w:cs="Times New Roman"/>
                <w:sz w:val="24"/>
                <w:szCs w:val="24"/>
              </w:rPr>
              <w:t xml:space="preserve">50%</w:t>
            </w:r>
          </w:p>
        </w:tc>
      </w:tr>
      <w:tr>
        <w:trPr/>
        <w:tc>
          <w:tcPr>
            <w:vAlign w:val="center"/>
            <w:shd w:val="clear" w:fill="dddddd"/>
          </w:tcPr>
          <w:p>
            <w:pPr>
              <w:jc w:val="right"/>
            </w:pPr>
            <w:r>
              <w:rPr>
                <w:rFonts w:ascii="Times New Roman" w:hAnsi="Times New Roman" w:eastAsia="Times New Roman" w:cs="Times New Roman"/>
                <w:sz w:val="24"/>
                <w:szCs w:val="24"/>
                <w:b w:val="1"/>
                <w:bCs w:val="1"/>
              </w:rPr>
              <w:t xml:space="preserve">Общо за дисциплината:</w:t>
            </w:r>
          </w:p>
        </w:tc>
        <w:tc>
          <w:tcPr>
            <w:vAlign w:val="center"/>
            <w:shd w:val="clear" w:fill="dddddd"/>
          </w:tcPr>
          <w:p>
            <w:pPr>
              <w:jc w:val="center"/>
            </w:pPr>
            <w:r>
              <w:rPr>
                <w:rFonts w:ascii="Times New Roman" w:hAnsi="Times New Roman" w:eastAsia="Times New Roman" w:cs="Times New Roman"/>
                <w:sz w:val="24"/>
                <w:szCs w:val="24"/>
                <w:b w:val="1"/>
                <w:bCs w:val="1"/>
              </w:rPr>
              <w:t xml:space="preserve">100%</w:t>
            </w:r>
          </w:p>
        </w:tc>
      </w:tr>
    </w:tbl>
    <w:p w14:paraId="129669A5" w14:textId="77777777" w:rsidR="009943E5" w:rsidRPr="008633A2" w:rsidRDefault="009943E5" w:rsidP="000A31B2">
      <w:pPr>
        <w:overflowPunct/>
        <w:autoSpaceDE/>
        <w:autoSpaceDN/>
        <w:adjustRightInd/>
        <w:textAlignment w:val="auto"/>
        <w:rPr>
          <w:rFonts w:ascii="Times New Roman" w:hAnsi="Times New Roman"/>
          <w:color w:val="232323"/>
          <w:spacing w:val="-13"/>
          <w:sz w:val="24"/>
          <w:szCs w:val="24"/>
        </w:rPr>
      </w:pPr>
    </w:p>
    <w:p w14:paraId="40EA5D97" w14:textId="77777777" w:rsidR="008919B1" w:rsidRDefault="008919B1"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5EE6DF38" w:rsidR="00922E7B" w:rsidRPr="00C10B36" w:rsidRDefault="00AB0FD7" w:rsidP="00F44C88">
      <w:pPr>
        <w:shd w:val="clear" w:color="auto" w:fill="FFFFFF"/>
        <w:spacing w:line="240" w:lineRule="atLeast"/>
        <w:rPr>
          <w:rFonts w:ascii="Times New Roman" w:hAnsi="Times New Roman"/>
          <w:b/>
          <w:caps/>
          <w:color w:val="232323"/>
          <w:spacing w:val="-17"/>
          <w:sz w:val="28"/>
          <w:szCs w:val="28"/>
          <w:lang w:val="bg-BG"/>
        </w:rPr>
      </w:pPr>
      <w:r>
        <w:rPr>
          <w:rFonts w:ascii="Times New Roman" w:hAnsi="Times New Roman"/>
          <w:b/>
          <w:caps/>
          <w:color w:val="232323"/>
          <w:spacing w:val="-17"/>
          <w:sz w:val="28"/>
          <w:szCs w:val="28"/>
          <w:lang w:val="bg-BG"/>
        </w:rPr>
        <w:tab/>
      </w:r>
    </w:p>
    <w:p w14:paraId="3D780F6B" w14:textId="7E0764B4"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 xml:space="preserve">2.1. Цел на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4366F864" w14:textId="161C108E" w:rsidR="00106549" w:rsidRDefault="00106549" w:rsidP="00106549">
      <w:pPr>
        <w:ind w:firstLine="709"/>
        <w:jc w:val="both"/>
        <w:rPr>
          <w:rFonts w:ascii="Times New Roman" w:hAnsi="Times New Roman"/>
        </w:rPr>
      </w:pPr>
      <w:r>
        <w:rPr>
          <w:rFonts w:ascii="Times New Roman" w:hAnsi="Times New Roman"/>
        </w:rPr>
        <w:t>Държавният изпит е завършващ етап от учебния процес на студентите в ОКС "магистър". В рамките на последния семестър от обучението се завършва натрупване на изискваните нови 30 кредита по ECTS и се достига минимума от 60 кредита по ECTS  за икономисти и 120 кредита по ECTS за неикономисти. Целта на държавния изпит е да потвърди степента на придобити в рамките на учебния план знания, умения и компетенции чрез писмено изложение по тематични въпроси, свързани с фирмения финансов мениджмънт.</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 положени всички изпити по учебния план на МП "Финансов мениджмънт", включително и дисциплината "Магистърски практикум".</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227ED16A"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 xml:space="preserve">2.3. </w:t>
      </w:r>
      <w:r w:rsidR="00E708FF" w:rsidRPr="00E708FF">
        <w:rPr>
          <w:rFonts w:ascii="Times New Roman" w:hAnsi="Times New Roman" w:hint="eastAsia"/>
          <w:b/>
          <w:sz w:val="28"/>
          <w:szCs w:val="28"/>
          <w:lang w:val="bg-BG"/>
        </w:rPr>
        <w:t>Организация</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провеждане</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3EFBF371" w14:textId="5BCB3AD9" w:rsidR="006D3B5D" w:rsidRDefault="006D3B5D" w:rsidP="00BA4B91">
      <w:pPr>
        <w:ind w:firstLine="709"/>
        <w:jc w:val="both"/>
        <w:rPr>
          <w:rFonts w:ascii="Times New Roman" w:hAnsi="Times New Roman"/>
        </w:rPr>
      </w:pPr>
      <w:r>
        <w:rPr>
          <w:rFonts w:ascii="Times New Roman" w:hAnsi="Times New Roman"/>
        </w:rPr>
        <w:t>Държавният изпит се провежда чрез развитие на експозе от изпитваните студенти върху въпросник със седем тематични въпроса, разпределени в два раздела. Първият раздел обхваща тематични въпроси 1 - 4 (Теория на управлението на капиталите във фирмата, Технология на управлението на капиталите във фирмата, Теория на финансовите деривати, Теория на капиталовото бюджетиране), а втори раздел тематични въпроси 5-7 (Теория на финансовото управление на човешките ресурси, Теория на международния финансов мениджмънт, Теория на управлението на дълга). На случаен принцип се изтегля по един въпрос от двата раздела върху който студента в рамките на 2 часа развива своето изложение.</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получават практически навици за управление на парите и паричните потоци, анализ на финансовото състояние на фирмите и банките, изграждане и управление на портфейли от ценни книжа, дългосрочно и краткосрочно финансиране на икономическите агенти, управление на валутните позиции и операции на фирмите и банките, инвестиции в ценни книжа и капиталово-бюджетни проекти, бизнес оценяване, оперативен финансов мениджмънт, управление на държавния и общинския дълг, оптимизиране капиталовата структура на фирмата, формиране на аналитични и синтетични бюджети, многовалутно финансиране ресурсните потребности на фирмата.</w:t>
      </w:r>
    </w:p>
    <w:p w14:paraId="1F410D5D" w14:textId="77777777" w:rsidR="007C5A15" w:rsidRPr="003D232B" w:rsidRDefault="007C5A15" w:rsidP="00143328">
      <w:pPr>
        <w:ind w:firstLine="709"/>
        <w:jc w:val="both"/>
        <w:rPr>
          <w:rFonts w:ascii="Times New Roman" w:hAnsi="Times New Roman"/>
        </w:rPr>
      </w:pPr>
    </w:p>
    <w:p w14:paraId="798EA7AD" w14:textId="77777777" w:rsidR="00E52EDC" w:rsidRPr="00821D83" w:rsidRDefault="00E52EDC" w:rsidP="00A34223">
      <w:pPr>
        <w:shd w:val="clear" w:color="auto" w:fill="FFFFFF"/>
        <w:spacing w:line="240" w:lineRule="atLeast"/>
        <w:rPr>
          <w:rFonts w:ascii="Times New Roman" w:hAnsi="Times New Roman"/>
          <w:b/>
          <w:caps/>
          <w:color w:val="232323"/>
          <w:spacing w:val="-17"/>
          <w:sz w:val="28"/>
          <w:szCs w:val="28"/>
        </w:rPr>
      </w:pPr>
    </w:p>
    <w:p w14:paraId="5333ECE4" w14:textId="729BA1E8" w:rsidR="00851A48" w:rsidRDefault="002D6839" w:rsidP="009558B1">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rPr>
        <w:t>I</w:t>
      </w:r>
      <w:r w:rsidR="00821D83">
        <w:rPr>
          <w:rFonts w:ascii="Times New Roman" w:hAnsi="Times New Roman"/>
          <w:b/>
          <w:caps/>
          <w:color w:val="232323"/>
          <w:spacing w:val="-17"/>
          <w:sz w:val="28"/>
          <w:szCs w:val="28"/>
        </w:rPr>
        <w:t>II</w:t>
      </w:r>
      <w:r w:rsidR="00A34223" w:rsidRPr="00C10B36">
        <w:rPr>
          <w:rFonts w:ascii="Times New Roman" w:hAnsi="Times New Roman"/>
          <w:b/>
          <w:caps/>
          <w:color w:val="232323"/>
          <w:spacing w:val="-17"/>
          <w:sz w:val="28"/>
          <w:szCs w:val="28"/>
          <w:lang w:val="bg-BG"/>
        </w:rPr>
        <w:t>. Учебно съдържание</w:t>
      </w:r>
    </w:p>
    <w:p w14:paraId="2AA14601" w14:textId="1F956E50"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ВЪПРОСИ ЗА ДЪРЖАВНИЯ ИЗПИТ</w:t>
            </w:r>
          </w:p>
        </w:tc>
      </w:tr>
      <w:tr>
        <w:trPr/>
        <w:tc>
          <w:tcPr/>
          <w:p>
            <w:pPr/>
            <w:r>
              <w:rPr>
                <w:rFonts w:ascii="Times New Roman" w:hAnsi="Times New Roman" w:eastAsia="Times New Roman" w:cs="Times New Roman"/>
                <w:sz w:val="26"/>
                <w:szCs w:val="26"/>
                <w:b w:val="1"/>
                <w:bCs w:val="1"/>
              </w:rPr>
              <w:t xml:space="preserve">Тематичен въпрос 1. Теория на управлението на капиталите във фирмата</w:t>
            </w:r>
          </w:p>
        </w:tc>
      </w:tr>
      <w:tr>
        <w:trPr/>
        <w:tc>
          <w:tcPr/>
          <w:p>
            <w:pPr/>
            <w:r>
              <w:rPr>
                <w:rFonts w:ascii="Times New Roman" w:hAnsi="Times New Roman" w:eastAsia="Times New Roman" w:cs="Times New Roman"/>
                <w:sz w:val="26"/>
                <w:szCs w:val="26"/>
              </w:rPr>
              <w:t xml:space="preserve"/>
            </w:r>
          </w:p>
        </w:tc>
      </w:tr>
      <w:tr>
        <w:trPr/>
        <w:tc>
          <w:tcPr/>
          <w:p>
            <w:pPr/>
            <w:r>
              <w:rPr>
                <w:rFonts w:ascii="Times New Roman" w:hAnsi="Times New Roman" w:eastAsia="Times New Roman" w:cs="Times New Roman"/>
                <w:sz w:val="26"/>
                <w:szCs w:val="26"/>
                <w:b w:val="1"/>
                <w:bCs w:val="1"/>
              </w:rPr>
              <w:t xml:space="preserve">Тематичен въпрос 2. Технология на управлението на капиталите във фирмата</w:t>
            </w:r>
          </w:p>
        </w:tc>
      </w:tr>
      <w:tr>
        <w:trPr/>
        <w:tc>
          <w:tcPr/>
          <w:p>
            <w:pPr/>
            <w:r>
              <w:rPr>
                <w:rFonts w:ascii="Times New Roman" w:hAnsi="Times New Roman" w:eastAsia="Times New Roman" w:cs="Times New Roman"/>
                <w:sz w:val="26"/>
                <w:szCs w:val="26"/>
              </w:rPr>
              <w:t xml:space="preserve"/>
            </w:r>
          </w:p>
        </w:tc>
      </w:tr>
      <w:tr>
        <w:trPr/>
        <w:tc>
          <w:tcPr/>
          <w:p>
            <w:pPr/>
            <w:r>
              <w:rPr>
                <w:rFonts w:ascii="Times New Roman" w:hAnsi="Times New Roman" w:eastAsia="Times New Roman" w:cs="Times New Roman"/>
                <w:sz w:val="26"/>
                <w:szCs w:val="26"/>
                <w:b w:val="1"/>
                <w:bCs w:val="1"/>
              </w:rPr>
              <w:t xml:space="preserve">Тематичен въпрос 3. Теория на финансовите деривати</w:t>
            </w:r>
          </w:p>
        </w:tc>
      </w:tr>
      <w:tr>
        <w:trPr/>
        <w:tc>
          <w:tcPr/>
          <w:p>
            <w:pPr/>
            <w:r>
              <w:rPr>
                <w:rFonts w:ascii="Times New Roman" w:hAnsi="Times New Roman" w:eastAsia="Times New Roman" w:cs="Times New Roman"/>
                <w:sz w:val="26"/>
                <w:szCs w:val="26"/>
              </w:rPr>
              <w:t xml:space="preserve"/>
            </w:r>
          </w:p>
        </w:tc>
      </w:tr>
      <w:tr>
        <w:trPr/>
        <w:tc>
          <w:tcPr/>
          <w:p>
            <w:pPr/>
            <w:r>
              <w:rPr>
                <w:rFonts w:ascii="Times New Roman" w:hAnsi="Times New Roman" w:eastAsia="Times New Roman" w:cs="Times New Roman"/>
                <w:sz w:val="26"/>
                <w:szCs w:val="26"/>
                <w:b w:val="1"/>
                <w:bCs w:val="1"/>
              </w:rPr>
              <w:t xml:space="preserve">Тематичен въпрос 4. Теория на капиталовото бюджетиране</w:t>
            </w:r>
          </w:p>
        </w:tc>
      </w:tr>
      <w:tr>
        <w:trPr/>
        <w:tc>
          <w:tcPr/>
          <w:p>
            <w:pPr/>
            <w:r>
              <w:rPr>
                <w:rFonts w:ascii="Times New Roman" w:hAnsi="Times New Roman" w:eastAsia="Times New Roman" w:cs="Times New Roman"/>
                <w:sz w:val="26"/>
                <w:szCs w:val="26"/>
              </w:rPr>
              <w:t xml:space="preserve"/>
            </w:r>
          </w:p>
        </w:tc>
      </w:tr>
      <w:tr>
        <w:trPr/>
        <w:tc>
          <w:tcPr/>
          <w:p>
            <w:pPr/>
            <w:r>
              <w:rPr>
                <w:rFonts w:ascii="Times New Roman" w:hAnsi="Times New Roman" w:eastAsia="Times New Roman" w:cs="Times New Roman"/>
                <w:sz w:val="26"/>
                <w:szCs w:val="26"/>
                <w:b w:val="1"/>
                <w:bCs w:val="1"/>
              </w:rPr>
              <w:t xml:space="preserve">Тематичен въпрос 5. Теория на финансовото управление на човешките ресурси</w:t>
            </w:r>
          </w:p>
        </w:tc>
      </w:tr>
      <w:tr>
        <w:trPr/>
        <w:tc>
          <w:tcPr/>
          <w:p>
            <w:pPr/>
            <w:r>
              <w:rPr>
                <w:rFonts w:ascii="Times New Roman" w:hAnsi="Times New Roman" w:eastAsia="Times New Roman" w:cs="Times New Roman"/>
                <w:sz w:val="26"/>
                <w:szCs w:val="26"/>
              </w:rPr>
              <w:t xml:space="preserve"/>
            </w:r>
          </w:p>
        </w:tc>
      </w:tr>
      <w:tr>
        <w:trPr/>
        <w:tc>
          <w:tcPr/>
          <w:p>
            <w:pPr/>
            <w:r>
              <w:rPr>
                <w:rFonts w:ascii="Times New Roman" w:hAnsi="Times New Roman" w:eastAsia="Times New Roman" w:cs="Times New Roman"/>
                <w:sz w:val="26"/>
                <w:szCs w:val="26"/>
                <w:b w:val="1"/>
                <w:bCs w:val="1"/>
              </w:rPr>
              <w:t xml:space="preserve">Тематичен въпрос 6. Теория на международния финансов мениджмънт</w:t>
            </w:r>
          </w:p>
        </w:tc>
      </w:tr>
      <w:tr>
        <w:trPr/>
        <w:tc>
          <w:tcPr/>
          <w:p>
            <w:pPr/>
            <w:r>
              <w:rPr>
                <w:rFonts w:ascii="Times New Roman" w:hAnsi="Times New Roman" w:eastAsia="Times New Roman" w:cs="Times New Roman"/>
                <w:sz w:val="26"/>
                <w:szCs w:val="26"/>
              </w:rPr>
              <w:t xml:space="preserve"/>
            </w:r>
          </w:p>
        </w:tc>
      </w:tr>
      <w:tr>
        <w:trPr/>
        <w:tc>
          <w:tcPr/>
          <w:p>
            <w:pPr/>
            <w:r>
              <w:rPr>
                <w:rFonts w:ascii="Times New Roman" w:hAnsi="Times New Roman" w:eastAsia="Times New Roman" w:cs="Times New Roman"/>
                <w:sz w:val="26"/>
                <w:szCs w:val="26"/>
                <w:b w:val="1"/>
                <w:bCs w:val="1"/>
              </w:rPr>
              <w:t xml:space="preserve">Тематичен въпрос 7. Теория на управлението на дълга</w:t>
            </w:r>
          </w:p>
        </w:tc>
      </w:tr>
      <w:tr>
        <w:trPr/>
        <w:tc>
          <w:tcPr/>
          <w:p>
            <w:pPr/>
            <w:r>
              <w:rPr>
                <w:rFonts w:ascii="Times New Roman" w:hAnsi="Times New Roman" w:eastAsia="Times New Roman" w:cs="Times New Roman"/>
                <w:sz w:val="26"/>
                <w:szCs w:val="26"/>
              </w:rPr>
              <w:t xml:space="preserve"/>
            </w:r>
          </w:p>
        </w:tc>
      </w:tr>
    </w:tbl>
    <w:p w14:paraId="091B7150" w14:textId="7CD6B4C5" w:rsidR="00346CE1" w:rsidRDefault="00346CE1" w:rsidP="00821D83">
      <w:pPr>
        <w:shd w:val="clear" w:color="auto" w:fill="FFFFFF"/>
        <w:spacing w:line="240" w:lineRule="atLeast"/>
        <w:rPr>
          <w:rFonts w:ascii="Times New Roman" w:hAnsi="Times New Roman"/>
          <w:bCs/>
          <w:color w:val="222222"/>
          <w:spacing w:val="-7"/>
          <w:sz w:val="24"/>
          <w:szCs w:val="24"/>
        </w:rPr>
      </w:pPr>
    </w:p>
    <w:p w14:paraId="7EA8D314" w14:textId="499D0835" w:rsidR="00346CE1" w:rsidRPr="00C10B36" w:rsidRDefault="00346CE1" w:rsidP="00346CE1">
      <w:pPr>
        <w:shd w:val="clear" w:color="auto" w:fill="FFFFFF"/>
        <w:spacing w:line="240" w:lineRule="atLeast"/>
        <w:rPr>
          <w:rFonts w:ascii="Times New Roman" w:hAnsi="Times New Roman"/>
          <w:b/>
          <w:color w:val="232323"/>
          <w:spacing w:val="-13"/>
          <w:sz w:val="28"/>
          <w:szCs w:val="28"/>
          <w:lang w:val="bg-BG"/>
        </w:rPr>
      </w:pPr>
      <w:r>
        <w:rPr>
          <w:rFonts w:ascii="Times New Roman" w:hAnsi="Times New Roman"/>
          <w:b/>
          <w:caps/>
          <w:color w:val="232323"/>
          <w:spacing w:val="-17"/>
          <w:sz w:val="28"/>
          <w:szCs w:val="28"/>
        </w:rPr>
        <w:t>I</w:t>
      </w:r>
      <w:r w:rsidRPr="00C10B36">
        <w:rPr>
          <w:rFonts w:ascii="Times New Roman" w:hAnsi="Times New Roman"/>
          <w:b/>
          <w:caps/>
          <w:color w:val="232323"/>
          <w:spacing w:val="-17"/>
          <w:sz w:val="28"/>
          <w:szCs w:val="28"/>
          <w:lang w:val="bg-BG"/>
        </w:rPr>
        <w:t>V. ПреПОРЪЧИТЕЛНИ МАТЕРИАЛИ И НОРМАТИВНИ ИЗТОЧНИЦИ</w:t>
      </w:r>
      <w:r w:rsidRPr="00C10B36">
        <w:rPr>
          <w:rFonts w:ascii="Times New Roman" w:hAnsi="Times New Roman"/>
          <w:b/>
          <w:caps/>
          <w:color w:val="232323"/>
          <w:spacing w:val="-17"/>
          <w:sz w:val="28"/>
          <w:szCs w:val="28"/>
          <w:lang w:val="bg-BG"/>
        </w:rPr>
        <w:br/>
      </w:r>
    </w:p>
    <w:p w14:paraId="2DB69071" w14:textId="4E98254B"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E03427">
        <w:rPr>
          <w:rFonts w:ascii="Times New Roman" w:hAnsi="Times New Roman"/>
          <w:b/>
          <w:sz w:val="28"/>
          <w:szCs w:val="28"/>
        </w:rPr>
        <w:t>4</w:t>
      </w:r>
      <w:r w:rsidRPr="00C10B36">
        <w:rPr>
          <w:rFonts w:ascii="Times New Roman" w:hAnsi="Times New Roman"/>
          <w:b/>
          <w:sz w:val="28"/>
          <w:szCs w:val="28"/>
          <w:lang w:val="bg-BG"/>
        </w:rPr>
        <w:t>.1.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Учебен курс по "Държавен изпит по ФМ" в Платформата за дистанционно и електронно обучение на СА “Д. А. Ценов“, https://dl.uni-svishtov.bg</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Маринов, М. и колектив. Управление на капиталите във фирмата, АИ "Ценов", 2025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Захариев, А. Управление на дълга, АИ "Ценов", 2021</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Захариев, А. Финансово управление на човешките ресурси, АИ "Ценов", 2017</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Проданов, Ст. Капиталово бюджетиране, АИ "Ценов", 2017</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Симеонов, С. Финансови деривати, АИ "Ценов", 2017</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Пътев, Пл. Международен финансов мениджмънт, АИ "Ценов", 2017</w:t>
            </w:r>
          </w:p>
        </w:tc>
      </w:tr>
    </w:tbl>
    <w:p w14:paraId="66568A38" w14:textId="77777777"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p>
    <w:p w14:paraId="21017876" w14:textId="2C2E2C94"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lastRenderedPageBreak/>
        <w:t xml:space="preserve">   </w:t>
      </w:r>
      <w:r w:rsidR="00E03427">
        <w:rPr>
          <w:rFonts w:ascii="Times New Roman" w:hAnsi="Times New Roman"/>
          <w:b/>
          <w:sz w:val="28"/>
          <w:szCs w:val="28"/>
        </w:rPr>
        <w:t>4</w:t>
      </w:r>
      <w:r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031AC95B" w14:textId="77777777" w:rsidTr="004E78B8">
        <w:tc>
          <w:tcPr>
            <w:tcW w:w="10773" w:type="dxa"/>
          </w:tcPr>
          <w:p w14:paraId="507712D8"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Захариев, А., Ангелов, А., Ганчев, А., Костов, А. (2022). Финансов анализ, АИ "Ценов", 2022</w:t>
            </w:r>
          </w:p>
        </w:tc>
      </w:tr>
    </w:tbl>
    <w:p w14:paraId="35AB563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091751A1" w14:textId="3FBEDB5E"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 Обн. ДВ, бр.48 от 18 Юни 1991г., и посл. изм.</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публичното предлагане на ценни книжа, Обн. ДВ, бр.114 от 30 Декември 1999г., и посл. изм.</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запубличните финанси, Обн. ДВ, бр.15 от 15 Февруари 2013г., и посл. изм.</w:t>
            </w:r>
          </w:p>
        </w:tc>
      </w:tr>
      <w:tr w:rsidR="00346CE1" w:rsidRPr="00C10B36" w14:paraId="393C472D" w14:textId="77777777" w:rsidTr="004E78B8">
        <w:tc>
          <w:tcPr>
            <w:tcW w:w="10632" w:type="dxa"/>
          </w:tcPr>
          <w:p w14:paraId="5EA34934"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кредитните институции, Обн. ДВ, бр.59 от 21 Юли 2006г., и посл. изм.</w:t>
            </w:r>
          </w:p>
        </w:tc>
      </w:tr>
    </w:tbl>
    <w:p w14:paraId="588369C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447DEEBB" w14:textId="4BFBE439"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https://www.infostock.bg/infostock/</w:t>
            </w:r>
          </w:p>
        </w:tc>
      </w:tr>
      <w:tr w:rsidR="00346CE1" w:rsidRPr="00C10B36" w14:paraId="59073D61" w14:textId="77777777" w:rsidTr="004E78B8">
        <w:tc>
          <w:tcPr>
            <w:tcW w:w="10773" w:type="dxa"/>
          </w:tcPr>
          <w:p w14:paraId="2E3C43F1"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https://finance1952.com/sub/bulgaria/54/master</w:t>
            </w:r>
          </w:p>
        </w:tc>
      </w:tr>
    </w:tbl>
    <w:p w14:paraId="53E1D7EF" w14:textId="77777777" w:rsidR="00346CE1" w:rsidRDefault="00346CE1" w:rsidP="00821D83">
      <w:pPr>
        <w:shd w:val="clear" w:color="auto" w:fill="FFFFFF"/>
        <w:spacing w:line="240" w:lineRule="atLeast"/>
        <w:rPr>
          <w:rFonts w:ascii="Times New Roman" w:hAnsi="Times New Roman"/>
          <w:bCs/>
          <w:color w:val="222222"/>
          <w:spacing w:val="-7"/>
          <w:sz w:val="24"/>
          <w:szCs w:val="24"/>
        </w:rPr>
      </w:pPr>
    </w:p>
    <w:p w14:paraId="2D16DD39" w14:textId="77777777" w:rsidR="00E018D7" w:rsidRPr="00DB7127" w:rsidRDefault="00E018D7" w:rsidP="00821D83">
      <w:pPr>
        <w:shd w:val="clear" w:color="auto" w:fill="FFFFFF"/>
        <w:spacing w:line="240" w:lineRule="atLeast"/>
        <w:rPr>
          <w:rFonts w:ascii="Times New Roman" w:hAnsi="Times New Roman"/>
          <w:bCs/>
          <w:color w:val="222222"/>
          <w:spacing w:val="-7"/>
          <w:sz w:val="24"/>
          <w:szCs w:val="24"/>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Assoc. Prof. Valentin Milinov,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Assoc. Prof. Aleksandar Ganchev,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Марин Маринов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AFA8" w14:textId="77777777" w:rsidR="000E0D1A" w:rsidRDefault="000E0D1A">
      <w:r>
        <w:separator/>
      </w:r>
    </w:p>
  </w:endnote>
  <w:endnote w:type="continuationSeparator" w:id="0">
    <w:p w14:paraId="7AD64BE0" w14:textId="77777777" w:rsidR="000E0D1A" w:rsidRDefault="000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5AB6" w14:textId="77777777" w:rsidR="000E0D1A" w:rsidRDefault="000E0D1A">
      <w:r>
        <w:separator/>
      </w:r>
    </w:p>
  </w:footnote>
  <w:footnote w:type="continuationSeparator" w:id="0">
    <w:p w14:paraId="1E563FD2" w14:textId="77777777" w:rsidR="000E0D1A" w:rsidRDefault="000E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0E0D1A"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8936BA5"/>
    <w:multiLevelType w:val="hybridMultilevel"/>
    <w:tmpl w:val="EEEEA6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03B7BB6"/>
    <w:multiLevelType w:val="hybridMultilevel"/>
    <w:tmpl w:val="EE0857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8923F4B"/>
    <w:multiLevelType w:val="hybridMultilevel"/>
    <w:tmpl w:val="B77817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9"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220411"/>
    <w:multiLevelType w:val="hybridMultilevel"/>
    <w:tmpl w:val="221842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D10BBF"/>
    <w:multiLevelType w:val="multilevel"/>
    <w:tmpl w:val="DFAA0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6"/>
  </w:num>
  <w:num w:numId="8">
    <w:abstractNumId w:val="8"/>
  </w:num>
  <w:num w:numId="9">
    <w:abstractNumId w:val="11"/>
  </w:num>
  <w:num w:numId="10">
    <w:abstractNumId w:val="7"/>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B1"/>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D1A"/>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0BC"/>
    <w:rsid w:val="0028710D"/>
    <w:rsid w:val="002944F7"/>
    <w:rsid w:val="00295F94"/>
    <w:rsid w:val="002A706D"/>
    <w:rsid w:val="002A7805"/>
    <w:rsid w:val="002B00E2"/>
    <w:rsid w:val="002B255E"/>
    <w:rsid w:val="002B2CB9"/>
    <w:rsid w:val="002B792A"/>
    <w:rsid w:val="002D6839"/>
    <w:rsid w:val="002E1408"/>
    <w:rsid w:val="002E4701"/>
    <w:rsid w:val="002E5D93"/>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6CE1"/>
    <w:rsid w:val="003474A8"/>
    <w:rsid w:val="00354F43"/>
    <w:rsid w:val="00374A48"/>
    <w:rsid w:val="003753DC"/>
    <w:rsid w:val="00382F94"/>
    <w:rsid w:val="00390CF2"/>
    <w:rsid w:val="0039729B"/>
    <w:rsid w:val="00397EEA"/>
    <w:rsid w:val="003C2930"/>
    <w:rsid w:val="003C3856"/>
    <w:rsid w:val="003C69C4"/>
    <w:rsid w:val="003D232B"/>
    <w:rsid w:val="003D2FD1"/>
    <w:rsid w:val="003D31E5"/>
    <w:rsid w:val="003E2F94"/>
    <w:rsid w:val="003F04BB"/>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87F0F"/>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352D9"/>
    <w:rsid w:val="00541760"/>
    <w:rsid w:val="00543E36"/>
    <w:rsid w:val="00546B7B"/>
    <w:rsid w:val="00551402"/>
    <w:rsid w:val="00551A85"/>
    <w:rsid w:val="0056470F"/>
    <w:rsid w:val="00580D4A"/>
    <w:rsid w:val="00591FF0"/>
    <w:rsid w:val="0059344B"/>
    <w:rsid w:val="005A0423"/>
    <w:rsid w:val="005B0871"/>
    <w:rsid w:val="005B5C50"/>
    <w:rsid w:val="005D1AD9"/>
    <w:rsid w:val="005D2229"/>
    <w:rsid w:val="005D25B2"/>
    <w:rsid w:val="005D6DE9"/>
    <w:rsid w:val="005E37FF"/>
    <w:rsid w:val="005E448E"/>
    <w:rsid w:val="005E5DF5"/>
    <w:rsid w:val="005F618F"/>
    <w:rsid w:val="00603B07"/>
    <w:rsid w:val="006063F8"/>
    <w:rsid w:val="0061322A"/>
    <w:rsid w:val="00614B0F"/>
    <w:rsid w:val="00616C41"/>
    <w:rsid w:val="00621AC0"/>
    <w:rsid w:val="006255AB"/>
    <w:rsid w:val="006279EC"/>
    <w:rsid w:val="00634A7D"/>
    <w:rsid w:val="00643E0A"/>
    <w:rsid w:val="0065348E"/>
    <w:rsid w:val="00666980"/>
    <w:rsid w:val="00672596"/>
    <w:rsid w:val="00676498"/>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3EC5"/>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5A1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21D83"/>
    <w:rsid w:val="008308C4"/>
    <w:rsid w:val="008318C5"/>
    <w:rsid w:val="00831D30"/>
    <w:rsid w:val="00844C87"/>
    <w:rsid w:val="00845130"/>
    <w:rsid w:val="00850D27"/>
    <w:rsid w:val="00851011"/>
    <w:rsid w:val="00851A48"/>
    <w:rsid w:val="008564BE"/>
    <w:rsid w:val="00861C59"/>
    <w:rsid w:val="008633A2"/>
    <w:rsid w:val="00865DDB"/>
    <w:rsid w:val="00866CCD"/>
    <w:rsid w:val="0087237F"/>
    <w:rsid w:val="00872565"/>
    <w:rsid w:val="008742B5"/>
    <w:rsid w:val="00880DFD"/>
    <w:rsid w:val="00883BC3"/>
    <w:rsid w:val="008919B1"/>
    <w:rsid w:val="008A501D"/>
    <w:rsid w:val="008B7886"/>
    <w:rsid w:val="008D04AA"/>
    <w:rsid w:val="008D2878"/>
    <w:rsid w:val="008D3DCC"/>
    <w:rsid w:val="008D41D4"/>
    <w:rsid w:val="008D4D57"/>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943E5"/>
    <w:rsid w:val="009A0D5C"/>
    <w:rsid w:val="009A1AF2"/>
    <w:rsid w:val="009A2BE9"/>
    <w:rsid w:val="009A5E3B"/>
    <w:rsid w:val="009A78F9"/>
    <w:rsid w:val="009B4214"/>
    <w:rsid w:val="009C5AF9"/>
    <w:rsid w:val="009D29A3"/>
    <w:rsid w:val="009D6616"/>
    <w:rsid w:val="009D66F6"/>
    <w:rsid w:val="009D6D2B"/>
    <w:rsid w:val="009E5797"/>
    <w:rsid w:val="009E68EC"/>
    <w:rsid w:val="009F4314"/>
    <w:rsid w:val="00A008E9"/>
    <w:rsid w:val="00A02BA8"/>
    <w:rsid w:val="00A063F6"/>
    <w:rsid w:val="00A108A1"/>
    <w:rsid w:val="00A20CAC"/>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0FD7"/>
    <w:rsid w:val="00AB7A25"/>
    <w:rsid w:val="00AB7B02"/>
    <w:rsid w:val="00AC6C1E"/>
    <w:rsid w:val="00AD18D2"/>
    <w:rsid w:val="00AE7381"/>
    <w:rsid w:val="00AE7443"/>
    <w:rsid w:val="00AF457B"/>
    <w:rsid w:val="00AF6AE2"/>
    <w:rsid w:val="00B04DA0"/>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05E26"/>
    <w:rsid w:val="00C10B36"/>
    <w:rsid w:val="00C1148B"/>
    <w:rsid w:val="00C15E13"/>
    <w:rsid w:val="00C21444"/>
    <w:rsid w:val="00C25BD1"/>
    <w:rsid w:val="00C25E37"/>
    <w:rsid w:val="00C26572"/>
    <w:rsid w:val="00C32E02"/>
    <w:rsid w:val="00C37CB5"/>
    <w:rsid w:val="00C37CC3"/>
    <w:rsid w:val="00C52C2B"/>
    <w:rsid w:val="00C63F56"/>
    <w:rsid w:val="00C717EB"/>
    <w:rsid w:val="00C7528F"/>
    <w:rsid w:val="00C861C6"/>
    <w:rsid w:val="00C92FDD"/>
    <w:rsid w:val="00C948EE"/>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1230"/>
    <w:rsid w:val="00D362F7"/>
    <w:rsid w:val="00D37899"/>
    <w:rsid w:val="00D401A5"/>
    <w:rsid w:val="00D41868"/>
    <w:rsid w:val="00D459E6"/>
    <w:rsid w:val="00D51C4C"/>
    <w:rsid w:val="00D612A5"/>
    <w:rsid w:val="00D675F5"/>
    <w:rsid w:val="00D7125E"/>
    <w:rsid w:val="00D77BC3"/>
    <w:rsid w:val="00D80EF8"/>
    <w:rsid w:val="00D841F2"/>
    <w:rsid w:val="00D84D15"/>
    <w:rsid w:val="00D853DC"/>
    <w:rsid w:val="00D935B9"/>
    <w:rsid w:val="00DB7127"/>
    <w:rsid w:val="00DC22A5"/>
    <w:rsid w:val="00DC2803"/>
    <w:rsid w:val="00DC6B74"/>
    <w:rsid w:val="00DD2465"/>
    <w:rsid w:val="00DD3041"/>
    <w:rsid w:val="00DD3B16"/>
    <w:rsid w:val="00DD4074"/>
    <w:rsid w:val="00DD55D6"/>
    <w:rsid w:val="00DD7FC8"/>
    <w:rsid w:val="00DE6F40"/>
    <w:rsid w:val="00E018D7"/>
    <w:rsid w:val="00E03427"/>
    <w:rsid w:val="00E25809"/>
    <w:rsid w:val="00E26DC1"/>
    <w:rsid w:val="00E31CB3"/>
    <w:rsid w:val="00E3292D"/>
    <w:rsid w:val="00E36754"/>
    <w:rsid w:val="00E44433"/>
    <w:rsid w:val="00E447A2"/>
    <w:rsid w:val="00E44EE8"/>
    <w:rsid w:val="00E51552"/>
    <w:rsid w:val="00E52EDC"/>
    <w:rsid w:val="00E55045"/>
    <w:rsid w:val="00E55385"/>
    <w:rsid w:val="00E671AD"/>
    <w:rsid w:val="00E708FF"/>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00F5"/>
    <w:rsid w:val="00F63D9E"/>
    <w:rsid w:val="00F70126"/>
    <w:rsid w:val="00F72C6F"/>
    <w:rsid w:val="00F76B7C"/>
    <w:rsid w:val="00F82B9F"/>
    <w:rsid w:val="00F83B86"/>
    <w:rsid w:val="00F8638C"/>
    <w:rsid w:val="00F8768F"/>
    <w:rsid w:val="00FA03AB"/>
    <w:rsid w:val="00FA0DEA"/>
    <w:rsid w:val="00FB0784"/>
    <w:rsid w:val="00FB4A23"/>
    <w:rsid w:val="00FB7B3C"/>
    <w:rsid w:val="00FC0F1B"/>
    <w:rsid w:val="00FC3C75"/>
    <w:rsid w:val="00FD240A"/>
    <w:rsid w:val="00FD4766"/>
    <w:rsid w:val="00FE4900"/>
    <w:rsid w:val="00FF025F"/>
    <w:rsid w:val="00FF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ListParagraph">
    <w:name w:val="List Paragraph"/>
    <w:basedOn w:val="Normal"/>
    <w:uiPriority w:val="34"/>
    <w:qFormat/>
    <w:rsid w:val="009A1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953092634">
      <w:bodyDiv w:val="1"/>
      <w:marLeft w:val="0"/>
      <w:marRight w:val="0"/>
      <w:marTop w:val="0"/>
      <w:marBottom w:val="0"/>
      <w:divBdr>
        <w:top w:val="none" w:sz="0" w:space="0" w:color="auto"/>
        <w:left w:val="none" w:sz="0" w:space="0" w:color="auto"/>
        <w:bottom w:val="none" w:sz="0" w:space="0" w:color="auto"/>
        <w:right w:val="none" w:sz="0" w:space="0" w:color="auto"/>
      </w:divBdr>
      <w:divsChild>
        <w:div w:id="1497114351">
          <w:marLeft w:val="0"/>
          <w:marRight w:val="0"/>
          <w:marTop w:val="0"/>
          <w:marBottom w:val="0"/>
          <w:divBdr>
            <w:top w:val="none" w:sz="0" w:space="0" w:color="auto"/>
            <w:left w:val="none" w:sz="0" w:space="0" w:color="auto"/>
            <w:bottom w:val="none" w:sz="0" w:space="0" w:color="auto"/>
            <w:right w:val="none" w:sz="0" w:space="0" w:color="auto"/>
          </w:divBdr>
        </w:div>
      </w:divsChild>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8113970">
      <w:bodyDiv w:val="1"/>
      <w:marLeft w:val="0"/>
      <w:marRight w:val="0"/>
      <w:marTop w:val="0"/>
      <w:marBottom w:val="0"/>
      <w:divBdr>
        <w:top w:val="none" w:sz="0" w:space="0" w:color="auto"/>
        <w:left w:val="none" w:sz="0" w:space="0" w:color="auto"/>
        <w:bottom w:val="none" w:sz="0" w:space="0" w:color="auto"/>
        <w:right w:val="none" w:sz="0" w:space="0" w:color="auto"/>
      </w:divBdr>
      <w:divsChild>
        <w:div w:id="948583867">
          <w:marLeft w:val="0"/>
          <w:marRight w:val="0"/>
          <w:marTop w:val="0"/>
          <w:marBottom w:val="0"/>
          <w:divBdr>
            <w:top w:val="none" w:sz="0" w:space="0" w:color="auto"/>
            <w:left w:val="none" w:sz="0" w:space="0" w:color="auto"/>
            <w:bottom w:val="none" w:sz="0" w:space="0" w:color="auto"/>
            <w:right w:val="none" w:sz="0" w:space="0" w:color="auto"/>
          </w:divBdr>
        </w:div>
      </w:divsChild>
    </w:div>
    <w:div w:id="1313873131">
      <w:bodyDiv w:val="1"/>
      <w:marLeft w:val="0"/>
      <w:marRight w:val="0"/>
      <w:marTop w:val="0"/>
      <w:marBottom w:val="0"/>
      <w:divBdr>
        <w:top w:val="none" w:sz="0" w:space="0" w:color="auto"/>
        <w:left w:val="none" w:sz="0" w:space="0" w:color="auto"/>
        <w:bottom w:val="none" w:sz="0" w:space="0" w:color="auto"/>
        <w:right w:val="none" w:sz="0" w:space="0" w:color="auto"/>
      </w:divBdr>
      <w:divsChild>
        <w:div w:id="109669729">
          <w:marLeft w:val="0"/>
          <w:marRight w:val="0"/>
          <w:marTop w:val="0"/>
          <w:marBottom w:val="0"/>
          <w:divBdr>
            <w:top w:val="none" w:sz="0" w:space="0" w:color="auto"/>
            <w:left w:val="none" w:sz="0" w:space="0" w:color="auto"/>
            <w:bottom w:val="none" w:sz="0" w:space="0" w:color="auto"/>
            <w:right w:val="none" w:sz="0" w:space="0" w:color="auto"/>
          </w:divBdr>
        </w:div>
      </w:divsChild>
    </w:div>
    <w:div w:id="1488745628">
      <w:bodyDiv w:val="1"/>
      <w:marLeft w:val="0"/>
      <w:marRight w:val="0"/>
      <w:marTop w:val="0"/>
      <w:marBottom w:val="0"/>
      <w:divBdr>
        <w:top w:val="none" w:sz="0" w:space="0" w:color="auto"/>
        <w:left w:val="none" w:sz="0" w:space="0" w:color="auto"/>
        <w:bottom w:val="none" w:sz="0" w:space="0" w:color="auto"/>
        <w:right w:val="none" w:sz="0" w:space="0" w:color="auto"/>
      </w:divBdr>
      <w:divsChild>
        <w:div w:id="902563572">
          <w:marLeft w:val="0"/>
          <w:marRight w:val="0"/>
          <w:marTop w:val="0"/>
          <w:marBottom w:val="0"/>
          <w:divBdr>
            <w:top w:val="none" w:sz="0" w:space="0" w:color="auto"/>
            <w:left w:val="none" w:sz="0" w:space="0" w:color="auto"/>
            <w:bottom w:val="none" w:sz="0" w:space="0" w:color="auto"/>
            <w:right w:val="none" w:sz="0" w:space="0" w:color="auto"/>
          </w:divBdr>
        </w:div>
      </w:divsChild>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627810125">
      <w:bodyDiv w:val="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
      </w:divsChild>
    </w:div>
    <w:div w:id="2061779737">
      <w:bodyDiv w:val="1"/>
      <w:marLeft w:val="0"/>
      <w:marRight w:val="0"/>
      <w:marTop w:val="0"/>
      <w:marBottom w:val="0"/>
      <w:divBdr>
        <w:top w:val="none" w:sz="0" w:space="0" w:color="auto"/>
        <w:left w:val="none" w:sz="0" w:space="0" w:color="auto"/>
        <w:bottom w:val="none" w:sz="0" w:space="0" w:color="auto"/>
        <w:right w:val="none" w:sz="0" w:space="0" w:color="auto"/>
      </w:divBdr>
      <w:divsChild>
        <w:div w:id="90637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4834</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125</cp:revision>
  <cp:lastPrinted>2008-05-31T10:14:00Z</cp:lastPrinted>
  <dcterms:created xsi:type="dcterms:W3CDTF">2022-10-17T08:46:00Z</dcterms:created>
  <dcterms:modified xsi:type="dcterms:W3CDTF">2024-11-14T05:55:00Z</dcterms:modified>
</cp:coreProperties>
</file>