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10</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20.05.2025</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19</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09.05.2025</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Инвестиционен анализ</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ФФ-КФК-М-378</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ФФ-КФК-М-378</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v.03/2025</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47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40%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40%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закрити и открити въпроси, логически и изчислителни задачи.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Успешните инвестиционни решения на съвременните капиталови, валутни и деривати пазари изискват все по-сериозна подготовка, ограничена несигурност и изключват случайното хазартно поведение. Реализирането на печеливши сделки и конкурентни инвестиционни решения се основава на сериозен научно обоснован анализ. Пазарният анализ изисква комплекс от задълбочени финансови компетенции, позволяващи незабавното улавяне и коректното разчитане на актуалната информация за процесите и състоянието на финансовите пазари.
</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курса „Инвестиционен анализ" е овладяване на принципите и тънкостите на улавяне и разчитане на пазарната информация. Настоящият курс включва обширна систематика на индикаторите и показателите за анализ на дохдността, риска и пазарната ликвидност на както на микрониво (отделните инвестиционни инструменти), така и на борсовите пазари (на агрегирано - макрониво). Логично продължение на този анализ е прогнозирането на пазарния курс. Курсът включва аналитичната методология на фундаменталния, техническия и други специализирани модели на инвестиционният анализ. 
</w:t>
      </w:r>
    </w:p>
    <w:p w14:paraId="4366F864" w14:textId="161C108E" w:rsidR="00106549" w:rsidRDefault="00106549" w:rsidP="00106549">
      <w:pPr>
        <w:ind w:firstLine="709"/>
        <w:jc w:val="both"/>
        <w:rPr>
          <w:rFonts w:ascii="Times New Roman" w:hAnsi="Times New Roman"/>
        </w:rPr>
      </w:pPr>
      <w:r>
        <w:rPr>
          <w:rFonts w:ascii="Times New Roman" w:hAnsi="Times New Roman"/>
        </w:rPr>
        <w:t>Възпитаниците на СА „Д.А.Ценов” винаги са били сред най-подготвените специалисти за актуалните предизви¬кателства в инвестиционната и борсова проблематика. В унисон с високата отговорност на този многогодишен имидж с настоящия курс се визира и достойната задача за неговото поддържане със заслуженото самочувствие на магистрите, изучаващи и успешно завършили специалност Инвестиционен мениджмънт.</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на курса "Инвестиционен анализ" са знанията получени по микро и макро-икономика, инвестиции, финансов анализ, математика, статистика, фондови борси, управление на портфейла.
</w:t>
      </w:r>
    </w:p>
    <w:p w14:paraId="57BEE9B4" w14:textId="77777777" w:rsidR="007A3150" w:rsidRDefault="007A3150" w:rsidP="007A3150">
      <w:pPr>
        <w:ind w:firstLine="709"/>
        <w:jc w:val="both"/>
        <w:rPr>
          <w:rFonts w:ascii="Times New Roman" w:hAnsi="Times New Roman"/>
        </w:rPr>
      </w:pPr>
      <w:r>
        <w:rPr>
          <w:rFonts w:ascii="Times New Roman" w:hAnsi="Times New Roman"/>
        </w:rPr>
        <w:t>Дисциплината "Инвестиционен анализ" има ярко изразен практико-приложен характер. Тя се основава на съвременните световни научни достижения и е насочена към създаването на пазарни анализатори, упражняващи тази напрегната и отговорна професия с необходимата научна подплатеност и комплексна подготовка, предпазени от скъпо струващия подход на некомпетентните и необосно-вани интуитивни решения. Специализираните и задълбочени познания от дисциплината, в завършващата - магистърска степен от обучението, целят подготовката на поколение пазарни анализатори, конкурентни и в съответствие със световните стандарти. Учебното съдържание следва логиката на главните техники за анализ на финансовите пазари. Структурата включва следните главни теми: систематика на измерителите на борсовата активност, инвестиционен и борсов профил на инвестиционни инструменти, фундаментален анализ на капиталови инструменти; технически анализ - количествени индикатори и вълнова теория на Елиaт;  пазарна ефективност и календарни колебания.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Тестове, аналитични дискусии, задачи, куроси задания, семестриален казус.
</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Прилагат се делови игри, приложни проучвания, тестова подготовка, решаване на задачи чрез разработени указания по технологията „стъпка-по-стъпка“. Моделират се уникални изходни данни за тестовите и казусни задачи за гарантиране обективност на оценяването. Използват се различни технически средства за обучение, като основният академичен текст, осигуряващ курса е достъпен на хартиен носител и в дигитален формат. Допълнителни материали в полза на обучението по курса са достъпни в уеб среда.
</w:t>
      </w:r>
    </w:p>
    <w:p w14:paraId="3EFBF371" w14:textId="5BCB3AD9" w:rsidR="006D3B5D" w:rsidRDefault="006D3B5D" w:rsidP="00BA4B91">
      <w:pPr>
        <w:ind w:firstLine="709"/>
        <w:jc w:val="both"/>
        <w:rPr>
          <w:rFonts w:ascii="Times New Roman" w:hAnsi="Times New Roman"/>
        </w:rPr>
      </w:pPr>
      <w:r>
        <w:rPr>
          <w:rFonts w:ascii="Times New Roman" w:hAnsi="Times New Roman"/>
        </w:rPr>
        <w:t>В изпълнение на дейности по проект BG051PO001-3.1.07-0019 „Нови знания и умения за успешна професионална реализация на студентите от СА „Д. А. Ценов” Свищов“ вкл.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практико-приложно задание – казус, подлежащ на индивидуализация.</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
</w:t>
      </w:r>
    </w:p>
    <w:p w14:paraId="0510FAB4" w14:textId="488C766D" w:rsidR="006D3B5D" w:rsidRDefault="006D3B5D" w:rsidP="00BA4B91">
      <w:pPr>
        <w:ind w:firstLine="709"/>
        <w:jc w:val="both"/>
        <w:rPr>
          <w:rFonts w:ascii="Times New Roman" w:hAnsi="Times New Roman"/>
        </w:rPr>
      </w:pPr>
      <w:r>
        <w:rPr>
          <w:rFonts w:ascii="Times New Roman" w:hAnsi="Times New Roman"/>
        </w:rPr>
        <w:t>В изпълнение на дейности по проект BG051PO001-3.1.07-0019 „Нови знания и умения за успешна професионална реализация на студентите от СА „Д. А. Ценов” Свищов“ вкл.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практико-приложно задание – казус, подлежащ на индивидуализация.</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 усвояване на заложените в курса знания, магистрите следва да разполагат с научно издържана методология за анализ и прогнозиране на борсовите пазари и отделни инвестиционните инструменти. Перспективността на курса се обуславя от необратимо нарастващата активност на капиталовите пазаи, постоянно увеличаващите се по брои и размери инвестиционни фондове и обективните потребности от трайни сполучливи инвестиционни решения, осигуряващи атрактивна доходност и стабилност с дългосрочен хоризонт.</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Pittsburgh, College of Business Administration, study subjects: “The Efficiency of Capital Markets”;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Griffith Business School – Australia, Department of Accounting, Finance and Economics, course: Investment Analysis &amp; Management;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Nanyang Technological University (NTU) – Singapore, course: Investment analysis and portfolio management;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Boston University School of Management - USA, Investment Analysis and Portfolio Management;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The London School of Economics and Political Science (LSE) – UK, course: Investment Analysis;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The University of Manchester- UK, course: Investment Analysis;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Cyprus, course: Investment and Portfolio Management;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Neapolis University of Pafos – Cyprus, course: Investment Analysis;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The American Business School Paris (Paris, France), course: Investment Analysis ;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Konkuk University (Seoul, South Korea), course:  Technical Analysis of the Financial Markets and Investments;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American University of Rome (Rome, Italy), course: Portfolio Management;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Bradley University – USA, course: Investment Analysis;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Academic Institution: Anglo-American University - Prague, Czech Republic, course: FIN 320 Investment Analysis and Portfolio Management;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Northeastern University – Boston, USA. Course: Investment Analysis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The Wharton School of the University of Pennsylvania USA, course: Investment Management.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Университет Gelsenkirchen, Германия, дисциплина “Investitionsmanagement”.</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I. Въведение в инвестиционния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Принципи на функциониране на финансовите пазари. 
</w:t>
              <w:br/>
              <w:t xml:space="preserve">2. Методология на инвестиционния анализ. 
</w:t>
              <w:br/>
              <w:t xml:space="preserve">3. Систематика на измерителите на борсовата активност.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II. Измерители на борсовата активност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Индикатори на борсовата активност. 
</w:t>
              <w:br/>
              <w:t xml:space="preserve">2. Показатели на борсовата активност. 
</w:t>
              <w:br/>
              <w:t xml:space="preserve">3. Борсови индекси.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III. Технически индикатори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Предимства на техническите индикатори. 
</w:t>
              <w:br/>
              <w:t xml:space="preserve">2. Математически и логически инструментариум на техническите индикатори. 
</w:t>
              <w:br/>
              <w:t xml:space="preserve">3. Техническите индикатори: 
</w:t>
              <w:br/>
              <w:t xml:space="preserve">3.1. Показатели за посоката на пазарния тренд; 
</w:t>
              <w:br/>
              <w:t xml:space="preserve">3.2. Показатели за пазарната силата (momentum); 
</w:t>
              <w:br/>
              <w:t xml:space="preserve">3.3. Показатели за инвеститорското настроение (сантимент); 
</w:t>
              <w:br/>
              <w:t xml:space="preserve">3.4. Осцилатори.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IV. Вълнова теория на Елиат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постановки на вълновата теория на Ralph N. Elliott. 
</w:t>
              <w:br/>
              <w:t xml:space="preserve">2.  Фактори, изследвани от вълновия принципи (графични формации).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V. Mетоди и модели за фундаментално оценяване на финансови  инструменти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 и модели за оценяване. 
</w:t>
              <w:br/>
              <w:t xml:space="preserve">2. Избор на метод и модел за оценяване.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VI. Фундаментален анализ на капиталовите инструменти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Фундаментален анализ на акции. 
</w:t>
              <w:br/>
              <w:t xml:space="preserve">2. Фундаментален анализ на облигации.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VII. Пазарна ефективност и аномалии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Пазарна ефективност и аномалии. 
</w:t>
              <w:br/>
              <w:t xml:space="preserve">2. Пазарна цикличност и календарни аномалии. 
</w:t>
              <w:br/>
              <w:t xml:space="preserve">3. Изследване на българския фондов пазар за пазарни аномалии.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MC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"Инвестиционен анализ"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СИМЕОНОВ, Ст. и ГАНЧЕВ, Aл. ИНВЕСТИЦИОНЕН АНАЛИЗ, печатно издание АИ „Ценов“, Свищов, актуално издание.</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Къркпатрик, Ч. и Дж. Далкуист. „Технически анализ, пълен справочник за технически анализатори на финансовите пазари”, Актив Плюс Партнерс ООД – Русе,</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Симеонов, Ст. „Измерители на борсовата активност - изследване на индикаторите и анализ на пазарния тренд“ // Библиотека „Стопански свят“, бр. 131, Академично издателство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Ценков, Вл. Пазарна ефективност на капиталовите пазари от Централна и Източна Европа. Благоевград.</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Георгиева, С. Следкризисна динамика на капиталовите пазари.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Симеонов, Ст. и Ламай, Б. „Допълване на инвестиционния профил с франчизната стойност, анализ на дружества от SOFIX“, E-Journal VFU, Бр.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Симеонов, Ст. „Анализ на активността на основните източноазиатски фондови борси (в периода 2007 – 2019 г.)“. E-Journal VFU, Том. 13, Бр. 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Симеонов, Ст.; Тодоров, Т. и Николаев, Д.  „Изследване на факторното влияние върху активността на Българска фондова борса“. Сборник статии от Юбилейна международна научна конфе¬ренция 70 години Институт за икономически изследвания при БАН „Икономи-ческо развитие и политики: реалности и перспективи“.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Симеонов, Ст., Николаев, Д. и Тодоров, Т. „Детерминанти на борсовата активност в условията на българския фондов пазар“. Електронно списание „Диалог“, бр. 1, 2020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Симеонов, Ст., Тодоров, Т. и Николаев, Д. „Прогнозиране курса на най-разпространените криптовалути“. Списание „Финанси“, бр. 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Симеонов, Ст.; Тодоров, Т. и Николаев, Д. „Развитие на честотния анализ на променливостта в модел за прогнозиране тренда на финансовите пазари и сравнителна емпирична оценка с техническия анализ“, Елек¬тронно списание „Диалог“, Бр.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Simeonov, St. and Todorov, T. „Designing the Investment Profile of the Shares Traded on the Bulgarian Stock Exchange, in the period from august 2016 to december 2017“, Interuniversity Journal Economics 21, Year VIII, Book 1,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Carlson, Ed. George Lindsay. The Art of Technical Analysis: Trading Systems of a Market Master, FT Press; ISBN-13: 978-01326990681, 1-st edition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Charles, P. Investments: Analysis and Management, Jones Wiley; 11-th edition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Frank J. Fabozzi. Bond Markets, Analysis and Strategies, Prentice Hall; 8-th edition.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Frank K. Reilly, Keith C. Investment Analysis and Portfolio Management, Brown, South-Western College Pub.</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пазарите на финансови инструменти</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https://finance.yahoo.com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https://www.investor.bg/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Prof. Stefan Simeonov,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Aleksandar Ganchev,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Марин Маринов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