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Персонални финанси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ФФ-КФК-М-345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ФФ-КФК-М-345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„Персонални финанси“ има за цел да предостави на студентите от специалност „Финанси“ основополагащи знания относно значимостта на сектор „Домакинства“ за националното стопанство, спецификата на персоналните финанси като първично звено на финансовата система и проблемите при управлението  на персоналните парични потоци.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Предвид характера на учебното съдържание на дисциплината „Персонални финанси“ стартирането на курса на обучение предполага наличието на базови знания за отделните сектори на националното стопанство и съставляващите ги икономически агенти, възникващите разпределителни и преразпределителни процеси в обществото и формирането на отделните компоненти на богатството, особеностите на потреблението и неговото отлагане във времето с оглед спестяване, както и инструментите на макроикономическата политика в лицето на данъци, такси, социални плащания лихвени проценти, посредством които държавата влияе върху обществено-икономическите процеси, включително и тези, протичащи в сектора на домакинствата.
</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Изискуемите умения, които биха подпомогнали разбирането и усвояването на учебния материал по дисциплината „Персонални финанси“ се свързват с правилното позициониране на домакинствата в процесите по разпределение и преразпределение на националния доход, разпознаване елементите на богатството в общ план и познаване особеностите на спестяването като процес по отлагане на потреблението в бъдеще, както и инфлационните процеси, които се придобиват след изучаване на дисциплини като Микро- и Макроикономика, Теория на финансите, Теория на парите, Техника на данъчното облагане.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С оглед формирането на практическо, аналитично и рационално мислене у студентите, наред с мултимедийното представяне на учебното съдържание по време на лекция, се използват и методи за самоподготовка, като самостоятелно решаване на казуси и задачи, подходи за екипна работа чрез дебати, дискусии, делови игри, споделяне на опит разработването на групови проекти, разсъждение по предварително поставени казуси и практически задания, с моделирани уникални изходни данни. 
</w:t>
      </w:r>
    </w:p>
    <w:p w14:paraId="3EFBF371" w14:textId="5BCB3AD9"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аналитично-управленски умения чрез внедряване и актуализация на поливариантно индивидуално семестриално практико-приложно задание – казус.</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
</w:t>
      </w:r>
    </w:p>
    <w:p w14:paraId="0510FAB4" w14:textId="488C766D"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аналитично-управленски умения чрез внедряване и актуализация на поливариантно индивидуално семестриално практико-приложно задание – казус.</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Успешното преминаване на курса по „Персонални финанси“ гарантира придобиването на знания, компетенции и практически умения в посока постигането  на основната цел на всяко домакинство – максимизиране на неговото богатство и обезпечаване добър стандарт на живот. Това се постига чрез изясняване постановките  на персоналната финансова теория и параметрите на финансовото богатство на домакинствата, значимостта на процеса по персонално финансово планиране и възможностите за спестяване и инвестиране в подходящи финансови инструменти, включително при минимизиране на данъчната тежест и риска от непланирани събития.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преминалите курса на обучение по „Персонални финанси“ студенти, затвърждават придобитите по време на следването си качества и умения като: комуникативност, водене на преговори, инициативност, отговорност, презентаторски и ораторски възможности, работа в екип и самостоятелно решаване на проблемни ситуации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Великотърновски университет „Св. Св. Кирил и Методий“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ПРОФИЛ НА ПЕРСОНАЛНИТЕ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Принципни положения
</w:t>
              <w:br/>
              <w:t xml:space="preserve">2. Персоналните финанси в контекста на управлението на личното богатство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ПЕРСОНАЛНИТЕ ФИНАНСИ В СИСТЕМАТА НА НАЦИОНАЛНАТА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Домакинствата между държавата и частния сектор
</w:t>
              <w:br/>
              <w:t xml:space="preserve">2. Теория за въздействието чрез персоналните финанси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ЧОВЕШКИЯТ КАПИТАЛ И КАРИЕРНОТО РАЗВИТИЕ - ОСНОВА ЗА ФИНАНСОВИЯ ПОТЕНЦИАЛ НА ИНДИВИДА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Значение на фактора „човешки капитал”
</w:t>
              <w:br/>
              <w:t xml:space="preserve">2. Мотиви за планиране на кариерата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ОЦЕНЯВАНЕ НА ПЕРСОНАЛНОТО ФИНАНСОВО СЪСТОЯНИЕ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Балансът като способ за оценка на личното богатство
</w:t>
              <w:br/>
              <w:t xml:space="preserve">2. Отчетът за персоналния доход като измерител на финансовата ефективност	 
</w:t>
              <w:br/>
              <w:t xml:space="preserve">3. Взаимодействие между компонентите на персоналните финансови отчети 
</w:t>
              <w:br/>
              <w:t xml:space="preserve">4. Показатели за анализ на персоналното финансово състояние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V.РОЛЯ НА ПЛАНИРАНЕТО И БЮДЖЕТА В ОБХВАТА НА ПЕРСОНАЛНИТЕ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Изследване на зависимостта между планирането и персоналните финанси
</w:t>
              <w:br/>
              <w:t xml:space="preserve">2. Роля и значимост на бюджета при управление на личното богатство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МЕНИДЖМЪНТ НА ПЕРСОНАЛНИТЕ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техниките за персонално финансиране
</w:t>
              <w:br/>
              <w:t xml:space="preserve">2. Въздействие на рамката на данъчното облагане върху персоналното финансово богатство 
</w:t>
              <w:br/>
              <w:t xml:space="preserve">3. Предизвикателства пред управлението на персоналните инвестиции 
</w:t>
              <w:br/>
              <w:t xml:space="preserve">4. Ефекти от приложението на техниките за персонално пенсионно и здравно осигуряване 
</w:t>
              <w:br/>
              <w:t xml:space="preserve">5. Управление на персоналните рискове чрез застрахователни стратегии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КОМПЛЕКСНО СТУДЕНТСКО ПРАКТИКО-ПРИЛОЖНО ИЗСЛЕДВАНЕ - СЕМЕСТРИАЛЕН КАЗУС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Въвеждаща проблематика
</w:t>
              <w:br/>
              <w:t xml:space="preserve">2. Технология и методология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"Персонални финанси"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Димитрова, Т., Персонални финанси. АИ Ценов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Димитрова, Т, Радулова, А., Персонални финанси (методическо ръководство)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Лилова, Р.,  Радулова, А., Доходите на домакинствата – структура и динамика в условията на финансова криза, Световната финансова криза и поуките за финансовия сектор на България : Международна конференция - Равда, 2010 г., Bolid-ins,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Лилова, Р.,  Радулова, А., Приходи и разходи на домакинствата – състояние, тенденции и перспективи, Модернизация на икономиката - макроикономически, финансови и социални аспекти : Юбилейна международна научнопрактическа конференция - Свищов, 6 - 7 ноем. 2008 ; 55 години факултет "Финанси" : Сборник с доклади, АИ Ценов,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Лилова, Р., Найденова, С. и др. Икономически и социални аспекти на бюджета на домакинствата в България// Алманах научни изследвания. СА Д. А. Ценов - Свищов,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Benartzi S, Thaler RH. (2007). Heuristics and biases in retirement savings behavior // Journal of Economic Perspectives 21:81–104.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Cynamon BZ, Fazzari SM. (2015). Household income, demand, and saving: Deriving macro Data with micro data concepts // Review of Income and Wealth,</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Korniotis GM, Kumar A., (2013)., Do portfolio distortions reflect superior information or psychological biases? // Journal of Financial and Quantitative Analysis 48:1–45.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Meyer BD, Mok WKC, Sullivan J.X., (2015)., Household surveys in crisis. // Journal of Economic Perspectives.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данъците върху доходите н 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местните данъци и такси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Кодекс за застраховането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http://www.iwatchbulgaria.com/bg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http://www.federalreserve.gov/</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http://www.bnb.bg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Prof. Teodora Dimitrova,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