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ФИНАНСИ И КРЕДИТ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8</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16</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23.04.2021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Персонални финанси</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ФФ-КФК-М-345</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ФФ-КФК-М-345</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БЪЛГАРСКИ/АНГЛИЙСКИ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18</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15</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12</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28</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12</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40%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40%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„Персонални финанси“ има за цел да предостави на студентите от специалност „Финанси“ основополагащи знания относно значимостта на сектор „Домакинства“ за националното стопанство, спецификата на персоналните финанси като първично звено на финансовата система и проблемите при управлението  на персоналните парични потоци.</w:t>
      </w:r>
    </w:p>
    <w:p w14:paraId="4366F864" w14:textId="161C108E" w:rsidR="00106549" w:rsidRDefault="00106549" w:rsidP="00106549">
      <w:pPr>
        <w:ind w:firstLine="709"/>
        <w:jc w:val="both"/>
        <w:rPr>
          <w:rFonts w:ascii="Times New Roman" w:hAnsi="Times New Roman"/>
        </w:rPr>
      </w:pPr>
      <w:r>
        <w:rPr>
          <w:rFonts w:ascii="Times New Roman" w:hAnsi="Times New Roman"/>
        </w:rPr>
        <w:t>Ограничеността в изследването на персоналните финанси в РБългария и важните методологични аспекти като: специфика и сфера на тяхното формиране и обхват, принципи за управление, взаимовръзка с останалите елементи на финансовата система и участие в разпределителните и преразпределителни отношения в обществото, особеностите на привличането на физически лица в качеството им на индивидуални и колективни инвеститори в реалния сектор на икономиката, както и начините, методите и средствата за повишаване финансовата грамотност на населението, а в резултат на това и неговото богатство и жизнен стандарт, налагат разработването на настоящия учебен курс. Във връзка с това учебното съдържание на дисциплината „Персонални финанси" акцентира върху:</w:t>
      </w:r>
    </w:p>
    <w:p w14:paraId="4366F864" w14:textId="161C108E" w:rsidR="00106549" w:rsidRDefault="00106549" w:rsidP="00106549">
      <w:pPr>
        <w:ind w:firstLine="709"/>
        <w:jc w:val="both"/>
        <w:rPr>
          <w:rFonts w:ascii="Times New Roman" w:hAnsi="Times New Roman"/>
        </w:rPr>
      </w:pPr>
      <w:r>
        <w:rPr>
          <w:rFonts w:ascii="Times New Roman" w:hAnsi="Times New Roman"/>
        </w:rPr>
        <w:t>• значимостта на персоналното финансово планиране, практическите подходи, методи и похвати за осъществяване на процеса, и начините за установяване на текущото финансово състояние на домакинството;</w:t>
      </w:r>
    </w:p>
    <w:p w14:paraId="4366F864" w14:textId="161C108E" w:rsidR="00106549" w:rsidRDefault="00106549" w:rsidP="00106549">
      <w:pPr>
        <w:ind w:firstLine="709"/>
        <w:jc w:val="both"/>
        <w:rPr>
          <w:rFonts w:ascii="Times New Roman" w:hAnsi="Times New Roman"/>
        </w:rPr>
      </w:pPr>
      <w:r>
        <w:rPr>
          <w:rFonts w:ascii="Times New Roman" w:hAnsi="Times New Roman"/>
        </w:rPr>
        <w:t>• финансовото поведение на домакинството във връзка с действията по спестяване и инвестиране в подходящи финансови инструменти;</w:t>
      </w:r>
    </w:p>
    <w:p w14:paraId="4366F864" w14:textId="161C108E" w:rsidR="00106549" w:rsidRDefault="00106549" w:rsidP="00106549">
      <w:pPr>
        <w:ind w:firstLine="709"/>
        <w:jc w:val="both"/>
        <w:rPr>
          <w:rFonts w:ascii="Times New Roman" w:hAnsi="Times New Roman"/>
        </w:rPr>
      </w:pPr>
      <w:r>
        <w:rPr>
          <w:rFonts w:ascii="Times New Roman" w:hAnsi="Times New Roman"/>
        </w:rPr>
        <w:t>• данъчното въздействие върху персоналните финансови потоци, необходимостта от защита на активите и дохода, планирането на средства за пенсиониране и разпореждане с наследството.</w:t>
      </w:r>
    </w:p>
    <w:p w14:paraId="4366F864" w14:textId="161C108E" w:rsidR="00106549" w:rsidRDefault="00106549" w:rsidP="00106549">
      <w:pPr>
        <w:ind w:firstLine="709"/>
        <w:jc w:val="both"/>
        <w:rPr>
          <w:rFonts w:ascii="Times New Roman" w:hAnsi="Times New Roman"/>
        </w:rPr>
      </w:pPr>
      <w:r>
        <w:rPr>
          <w:rFonts w:ascii="Times New Roman" w:hAnsi="Times New Roman"/>
        </w:rPr>
        <w:t>Наред с това, с оглед формирането на аналитично и рационално мислене у студентите, обучението по дисциплината предлага възможности както за самоподготовка, така и за екипна работа чрез редица практически задания.</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Предвид характера на учебното съдържание на дисциплината „Персонални финанси“ стартирането на курса на обучение предполага наличието на базови знания за отделните сектори на националното стопанство и съставляващите ги икономически агенти, възникващите разпределителни и преразпределителни процеси в обществото и формирането на отделните компоненти на богатството, особеностите на потреблението и неговото отлагане във времето с оглед спестяване, както и инструментите на макроикономическата политика в лицето на данъци, такси, социални плащания лихвени проценти, посредством които държавата влияе върху обществено-икономическите процеси, включително и тези, протичащи в сектора на домакинствата.</w:t>
      </w:r>
    </w:p>
    <w:p w14:paraId="57BEE9B4" w14:textId="77777777" w:rsidR="007A3150" w:rsidRDefault="007A3150" w:rsidP="007A3150">
      <w:pPr>
        <w:ind w:firstLine="709"/>
        <w:jc w:val="both"/>
        <w:rPr>
          <w:rFonts w:ascii="Times New Roman" w:hAnsi="Times New Roman"/>
        </w:rPr>
      </w:pPr>
      <w:r>
        <w:rPr>
          <w:rFonts w:ascii="Times New Roman" w:hAnsi="Times New Roman"/>
        </w:rPr>
        <w:t>Изискуемите умения, които биха подпомогнали разбирането и усвояването на учебния материал по дисциплината „Персонални финанси“ се свързват с правилното позициониране на домакинствата в процесите по разпределение и преразпределение на националния доход, разпознаване елементите на богатството в общ план и познаване особеностите на спестяването като процес по отлагане на потреблението в бъдеще, както и инфлационните процеси, които се придобиват след изучаване на дисциплини като Микро- и Макроикономика, Теория на финансите, Теория на парите, Техника на данъчното облагане.</w:t>
      </w:r>
    </w:p>
    <w:p w14:paraId="57BEE9B4" w14:textId="77777777" w:rsidR="007A3150" w:rsidRDefault="007A3150" w:rsidP="007A3150">
      <w:pPr>
        <w:ind w:firstLine="709"/>
        <w:jc w:val="both"/>
        <w:rPr>
          <w:rFonts w:ascii="Times New Roman" w:hAnsi="Times New Roman"/>
        </w:rPr>
      </w:pPr>
      <w:r>
        <w:rPr>
          <w:rFonts w:ascii="Times New Roman" w:hAnsi="Times New Roman"/>
        </w:rPr>
        <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С оглед формирането на практическо, аналитично и рационално мислене у студентите, наред с мултимедийното представяне на учебното съдържание по време на лекция, се използват и методи за самоподготовка, като самостоятелно решаване на казуси и задачи, подходи за екипна работа чрез дебати, дискусии, делови игри, споделяне на опит разработването на групови проекти, разсъждение по предварително поставени казуси и практически задания, с моделирани уникални изходни данни. </w:t>
      </w:r>
    </w:p>
    <w:p w14:paraId="3EFBF371" w14:textId="5BCB3AD9" w:rsidR="006D3B5D" w:rsidRDefault="006D3B5D" w:rsidP="00BA4B91">
      <w:pPr>
        <w:ind w:firstLine="709"/>
        <w:jc w:val="both"/>
        <w:rPr>
          <w:rFonts w:ascii="Times New Roman" w:hAnsi="Times New Roman"/>
        </w:rPr>
      </w:pPr>
      <w:r>
        <w:rPr>
          <w:rFonts w:ascii="Times New Roman" w:hAnsi="Times New Roman"/>
        </w:rPr>
        <w:t>В изпълнение на дейности по проект BG051PO001-3.1.07-0019 „Нови знания и умения за успешна професионална реализация на студентите от СА „Д. А. Ценов” Свищов“ вкл.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аналитично-управленски умения чрез внедряване и актуализация на поливариантно индивидуално семестриално практико-приложно задание – казус.</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С оглед формирането на практическо, аналитично и рационално мислене у студентите, наред с мултимедийното представяне на учебното съдържание по време на лекция, се използват и методи за самоподготовка, като самостоятелно решаване на казуси и задачи, подходи за екипна работа чрез дебати, дискусии, делови игри, споделяне на опит разработването на групови проекти, разсъждение по предварително поставени казуси и практически задания, с моделирани уникални изходни данни. </w:t>
      </w:r>
    </w:p>
    <w:p w14:paraId="0510FAB4" w14:textId="488C766D" w:rsidR="006D3B5D" w:rsidRDefault="006D3B5D" w:rsidP="00BA4B91">
      <w:pPr>
        <w:ind w:firstLine="709"/>
        <w:jc w:val="both"/>
        <w:rPr>
          <w:rFonts w:ascii="Times New Roman" w:hAnsi="Times New Roman"/>
        </w:rPr>
      </w:pPr>
      <w:r>
        <w:rPr>
          <w:rFonts w:ascii="Times New Roman" w:hAnsi="Times New Roman"/>
        </w:rPr>
        <w:t>В изпълнение на дейности по проект BG051PO001-3.1.07-0019 „Нови знания и умения за успешна професионална реализация на студентите от СА „Д. А. Ценов” Свищов“ вкл.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аналитично-управленски умения чрез внедряване и актуализация на поливариантно индивидуално семестриално практико-приложно задание – казус.</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Успешното преминаване на курса по „Персонални финанси“ гарантира придобиването на знания, компетенции и практически умения в посока постигането  на основната цел на всяко домакинство – максимизиране на неговото богатство и обезпечаване добър стандарт на живот. Това се постига чрез изясняване постановките  на персоналната финансова теория и параметрите на финансовото богатство на домакинствата, значимостта на процеса по персонално финансово планиране и възможностите за спестяване и инвестиране в подходящи финансови инструменти, включително при минимизиране на данъчната тежест и риска от непланирани събития.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преминалите курса на обучение по „Персонални финанси“ студенти, затвърждават придобитите по време на следването си качества и умения като: комуникативност, водене на преговори, инициативност, отговорност, презентаторски и ораторски възможности, работа в екип и самостоятелно решаване на проблемни ситуации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Икономически университет –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Великотърновски университет „Св. Св. Кирил и Методий“</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Нов Български Университет</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 ХАРАКТЕРИСТИКА НА ПЕРСОНАЛНИТЕ ФИНАНСИ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Специфика на персоналните финанси</w:t>
              <w:br/>
              <w:t xml:space="preserve">2.	Неокласически и институционален синтез на домакинствата</w:t>
              <w:br/>
              <w:t xml:space="preserve">3.	Модели за вземане на персонални финансови решения</w:t>
              <w:br/>
              <w:t xml:space="preserve"/>
              <w:br/>
              <w:t xml:space="preserve">След усвояването на учебната тема студентите ще могат да определят място на персоналните финанси във финансовата система; да идентифицират основните функции на персоналните финанси; да характеризират поведението на домакинството според неокласическата и институционалната теория; да усвоят моделите за вземане на персонални финансови решения.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ПАРАМЕТРИ НА ФИНАНСОВОТО БОГАТСТВО НА ДОМАКИНСТВАТА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персонално финансово планиране</w:t>
              <w:br/>
              <w:t xml:space="preserve">2.	Установяване размера на персоналното богатство</w:t>
              <w:br/>
              <w:t xml:space="preserve">      </w:t>
              <w:br/>
              <w:t xml:space="preserve"> След усвояването на учебната тема студентите ще придобият знания относно същността, ролята и значението на персоналното финансово планиране и параметрите на персоналното богатство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УПРАВЛЕНИЕ НА ВХОДАЩИТЕ И ИЗХОДЯЩИТЕ ПАРИЧНИ ПОТОЦИ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Структура на персоналните парични потоци</w:t>
              <w:br/>
              <w:t xml:space="preserve">2.	Оценка на персоналното финансова състояние</w:t>
              <w:br/>
              <w:t xml:space="preserve">     </w:t>
              <w:br/>
              <w:t xml:space="preserve">След усвояването на учебната тема студентите ще придобият знания относно същността и предназначението на  финансовия отчет за неговото измерване, структурата на персоналните парични потоци и коефициентите, посредством които се измерва персоналното финансово състояние.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СПЕЦИФИКА НА ПРОЦЕСА НА ПЛАНИРАНЕ НА ПЕРСОНАЛНИТЕ ФИНАНСИ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Бюджетиране на персоналните парични потоци</w:t>
              <w:br/>
              <w:t xml:space="preserve">2.	Дефиниране на персонални финансови цели</w:t>
              <w:br/>
              <w:t xml:space="preserve">3.	Персонален финансов план, изпълнение и мониторинг</w:t>
              <w:br/>
              <w:t xml:space="preserve">4.	Детерминанти на персоналното богатство </w:t>
              <w:br/>
              <w:t xml:space="preserve">         </w:t>
              <w:br/>
              <w:t xml:space="preserve">След усвояването на учебната тема студентите ще придобият знания относно същността на персоналния бюджет като инструмент за персонално финансово планиране, видовете персонални финансови цели и начините за постигането им, както и за същността на процеса по персонални планиране.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ФИЛОСИФИЯ НА ПЕРСОНАЛНОТО СПЕСТЯВАНЕ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Теоретични аспекти на процеса на персонално спестяване</w:t>
              <w:br/>
              <w:t xml:space="preserve">2.	Времевата стойност на парите – основен фактор при управление на персоналните спестявания</w:t>
              <w:br/>
              <w:t xml:space="preserve"/>
              <w:br/>
              <w:t xml:space="preserve">              След усвояването на учебната тема студентите ще придобият знания за понятието „спестяване“, етапите в еволюцията на икономическите възгледи в тази насока, мотивите за спестяване, факторите, влияещи на спестяването, класификация на спестяванията, както и значимостта на времевата стойност на парите като фактор при управление на персоналните спестявания.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ФИНАНСОВИ ИНСТРУМЕНТИ ЗА УПРАВЛЕНИЕ НА ПЕРСОНАЛНИТЕ ПАРИЧНИ ПОТОЦИ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Управление на парите</w:t>
              <w:br/>
              <w:t xml:space="preserve">2.	Финансови инструмнети за дългосрочно инвестиране</w:t>
              <w:br/>
              <w:t xml:space="preserve">3.	Финансови инструменти за краткосрочно и дългосрочно кредитиране</w:t>
              <w:br/>
              <w:t xml:space="preserve">4.	Финансови решения за избор на инвестиционни инструменти</w:t>
              <w:br/>
              <w:t xml:space="preserve">5.	Роля на жизнения цикъл при алокация на персоналните инвестиции.</w:t>
              <w:br/>
              <w:t xml:space="preserve"/>
              <w:br/>
              <w:t xml:space="preserve">         След усвояването на учебна та тема студентите ще придобият знания за същността на процеса по управление на парите, характеристиките на различните алтернативи за инвестиране и съпътстващите ги рискове, и ще се запознаят с особеностите на инструментите за краткосрочно и дългосрочно кредитиране.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НЕОБХОДИМИ ПОЗНАНИЯ ПРИ ИЗГОТВЯНЕ НА ПЕРСОНАЛЕН ФИНАНСОВ ПЛАН</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Влияние на данъците върху персоналните финансови потоци</w:t>
              <w:br/>
              <w:t xml:space="preserve">2.	Защита на активите и дохода</w:t>
              <w:br/>
              <w:t xml:space="preserve">3.	Планиране на средства за пенсиониране и разпореждане с наследството</w:t>
              <w:br/>
              <w:t xml:space="preserve"/>
              <w:br/>
              <w:t xml:space="preserve">        След усвояването на учебната тема студентите ще придобият знания относно данъчното въздействие върху персоналните доходи, богатство и имущество, възможностите за защита на активите и дохода посредством различните застраховки, и устройството на пенсионноосигурителната система в РБългария.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Радулова, А., Павлова, М. (2016). Персонални финанси. Фабер.</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Радулова, А. Персонални финанси. (2015). Фабер.</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Радулова, А. (2012). Неокласически и институционален синтез на домакинствата,//Юбилеен алманах научни изследвания – том 18.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Радулова, А. (2011). Ограничения при управлението на доходите и разходите на домакинствата // Диалог. Електронно списание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Радулова, А. (2012). Моделиране на финансовите решения в домакинствата // Човешкият фактор в управлението: Юб. научно-практ. конфер., 12-13 окт. 2012 г: Сб. доклади. - Свищов :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Радулова., А., Ангелов., А. (2011). Персоналните финанси - първично звено на финансовата система, Алманах научни изследвания. СА Д. А. Ценов - Свищов, бр. 14,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Benartzi S, Thaler RH. (2007). Heuristics and biases in retirement savings behavior // Journal of Economic Perspectives 21:81–104.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Cynamon BZ, Fazzari SM. (2015). Household income, demand, and saving: Deriving macro Data with micro data concepts // Review of Income and Wealth,</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Korniotis GM, Kumar A., (2013)., Do portfolio distortions reflect superior information or psychological biases? // Journal of Financial and Quantitative Analysis 48:1–45.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Meyer BD, Mok WKC, Sullivan J.X., (2015)., Household surveys in crisis. // Journal of Economic Perspectives.</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Данъчно-осигурителен процесуален кодекс;</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Кодекс за социално осигуряване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данъците върху доходите н а физическите лица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местните данъци и такси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Кодекс за застраховането</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http://www.iwatchbulgaria.com/bg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http://www.federalreserve.gov/</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http://www.bnb.bg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Анелия Радулова)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Марияна Павлова-Бънова)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проф. д-р Стоян Проданов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