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Инвестиционно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„Инвестиционно банкиране” се изучава от студентите  дистанционна форма на обучение в магистърските специалности „Инвестиционен мениджмънт” и „Търговско посредничество и инвестиционно банкиране”. Целта на курса е да се развият компетенциите на студентите в областта на капиталовите пазари в глобален мащаб, инструментите и принципите на инвестиционното банкиране.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за курса са знанията, получени по дисциплините: „Инвестиции”, „Управление на портфейла”, „Финансов анализ” и „Банков анализ”. В рамките на курса се разработва семестриален казус. Прилагат се делови игри, както и оценяване  на различни проекти за инвестиции във фирмени ценни книжа.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курса са изучаваните в рамките на магистърските специалности по „Инвестиционен мениджмънт” и „Търговско посредничество и инвестиционно банкиране” курсове, фокусирани върху процесите на инвестиционното банкиране и неговото влияние върху икономиката и нейните агенти.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        Перспективите на курса са добри. Той запазва своя отворен характер, защото практиката осигурява постоянна информация, гарантираща неговата актуалност и привлекателност. Това се допълва и от все по-високата степен на развитост на капиталовите пазари и техниките за инвестиционно банкиране.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Leichester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 
Предпоставки за възникване на инвестиционното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Модели на инвестиционно банкиране.</w:t>
              <w:br/>
              <w:t xml:space="preserve">2.	Еволюционна характеристика на инвестиционното банкиране.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 Процесуални и институционални аспекти на инвестиционното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Обхват на инвестиционното банкиране.</w:t>
              <w:br/>
              <w:t xml:space="preserve">2.	Същност на инвестиционните банки.</w:t>
              <w:br/>
              <w:t xml:space="preserve">3.	Инвестиционните банки и останалите финансови посредници, участващи на финансовия пазар.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Етапи на инвестиционното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Процедурно осигуряване емисията на ценни книжа.</w:t>
              <w:br/>
              <w:t xml:space="preserve">2.	Подходи и техники за определяне вида и структурата на емитираните ценни книжа.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Оценка и пласмент на емисиите на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Оценка на емисиите от акции.</w:t>
              <w:br/>
              <w:t xml:space="preserve">2.	Оценка на емисиите от облигации.</w:t>
              <w:br/>
              <w:t xml:space="preserve">3.	Заключителни дейности по емитирането и поемането на емисиите от ценни книжа.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Инвестиционното посредничество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Фондовият пазар в България.</w:t>
              <w:br/>
              <w:t xml:space="preserve">2.	Законова регламентация на дейностите свързани с инвестиционното посредничество в България.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Проблеми и тенденции на инвестиционното посредничество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Разпределение  функционалното участието на ИП на българския капиталов пазар</w:t>
              <w:br/>
              <w:t xml:space="preserve">2.	Ефективност на българските ИП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"Инвестиционно банкиране"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Лекции към учебния курс, ИНВЕСТИЦИОННО БАНКИРАНЕ. актуално печатно издание на АИ „Ценов”, Свищов..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„Развитие на концепцията за прогнозиране на тренда, базирана на честотната променливост“, Научно-практическа конференция на тема: „Статистиката като наука и практика – традиции и съвременни измерения“, Свищов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М. „Инвестиционните посредници в българия – актуално състояние, проблеми и перспективи“, защитена февруари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М. „Динамика на инвестиционните посредници в България за периода 2008-2013 година“ // Сборник с доклади Международна юбилейна научнопрак-тическа конференция, том II, АИ Ценов , 2015, с. 395-400.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Ревизия на схващанията за зависимостта между мащаба на банките и ползването на финансови деривати“, Юбилейна международна научнопрактическа конференция, Сборник доклади Свищов, октомври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// АИ Ценов,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 (Българска асоциация на лицензираните инвестиционни посредници)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https://www.jpmorgan.com/global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https://www.bse-sofia.bg/bg/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Александър Ганчев)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Кръстев)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