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Андрей Захариев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14.06.2021</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23.04.2021</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Инвестиционен анализ (технически и фундаментален)</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ФФ-КФК-М-331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ФФ-КФК-М-331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v.03/2021</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включващ кратки задачи и текстови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Успешните инвестиционни решения на съвременните финансови (капиталови и валутни) пазари изискват все по-сериозна подготовка, ограничена несигурност и изключват случайното хазартно поведение. Реализирането на печеливши сделки и конкурентни инвестиционни решения се основава на сериозен научно обоснован анализ. Пазарният анализ изисква комплекс от задълбочени финансови компетенции, позволяващи незабавното улавяне и коректното разчитане на актуалната информация за процесите и състоянието на финансовите пазари. Възпитаниците на СА “Д. А. Ценов” винаги са били сред най-търсените специалисти за актуалните предизви-кателства на икономи¬ческата ни действителност. В унисон с високата отговорност на този многогодишен имидж с настоящия курс се визира и достойната задача за неговото поддържане със заслуженото самочувствие на магистрите, изучаващи и успешно завършили програма Инвестиционен мениджмънт.</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"Инвестиционен (фундаментален и технически) анализ" е овла-дяване на принципите и тънкостите на улавяне и разчитане на пазарната информация. Техническият инвестиционният анализ е по същество анализ на инвестиционните инструменти. Той представлява пазарен поглед, различен от фирмения финансов анализ.</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"Инвестиционен (фундаментален и технически) анализ" има ярко изразен практико-приложен характер. Тя се основава на световните научни дос¬ти-жения и е насочена към създаването на пазарни анализатори, упражняващи тази напрегната и отговорна професия с необходимата научна подплатеност и комплексна подготовка, предпазени от скъпо струващия подход на некомпетентните и необосно-вани интуитивни решения. Специализи¬раните и задълбочени познания от дисципли-ната, в завършващата - магистърска степен от обучението, целят подготовката на поколение пазарни анализатори, конкурентни и в съответствие със световните стандарти. Учебното съдържание следва логиката на главните техники за анализ на финансовите пазари. Структурата включва следните главни теми: фундаментален ана-лиз – фактори и тълкуване на тяхното въздействие; технически анализ - вълнова теория на Елиaт, теория на Ган, японските свещи, календарни колебания.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курса "Инвестиционен анализ" са знанията получени по микро и мак¬ро-икономика, инвестиции, финансов анализ, математика, статистика, фондови борси, управление на портфейла. </w:t>
      </w:r>
    </w:p>
    <w:p w14:paraId="57BEE9B4" w14:textId="77777777" w:rsidR="007A3150" w:rsidRDefault="007A3150" w:rsidP="007A3150">
      <w:pPr>
        <w:ind w:firstLine="709"/>
        <w:jc w:val="both"/>
        <w:rPr>
          <w:rFonts w:ascii="Times New Roman" w:hAnsi="Times New Roman"/>
        </w:rPr>
      </w:pPr>
      <w:r>
        <w:rPr>
          <w:rFonts w:ascii="Times New Roman" w:hAnsi="Times New Roman"/>
        </w:rPr>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Прилагат се делови игри, приложни проучвания, тестова подготовка, решаване на задачи чрез разработени указания по технологията „стъпка-по-стъпка“. Моделират се уникални изходни данни за тестовите и казусни задачи за гарантиране обективност на оценяването. Използват се различни технически средства за обучение, като основният академичен текст, осигуряващ курса е достъпен на хартиен носител и в дигитален формат. Допълнителни материали в полза на обучението по курса са достъпни в уеб среда. </w:t>
      </w:r>
    </w:p>
    <w:p w14:paraId="3EFBF371" w14:textId="5BCB3AD9"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практико-приложно задание – казус, подлежащ на индивидуализация.</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Прилагат се делови игри, приложни проучвания, тестова подготовка, решаване на задачи чрез разработени указания по технологията „стъпка-по-стъпка“. Моделират се уникални изходни данни за тестовите и казусни задачи за гарантиране обективност на оценяването. Използват се различни технически средства за обучение, като основният академичен текст, осигуряващ курса е достъпен на хартиен носител и в дигитален формат. Допълнителни материали в полза на обучението по курса са достъпни в уеб среда. </w:t>
      </w:r>
    </w:p>
    <w:p w14:paraId="0510FAB4" w14:textId="488C766D"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практико-приложно задание – казус, подлежащ на индивидуализация.</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Перспективността на курса се обуславя от необратимо нарастващата активност на капиталовия пазар, постоянно увеличаващите се по брои и размери инвестиционни фондове и обективните потребности от трайни сполучливи инвестиционни решения, осигуряващи атрактивна доходност и стабилност с дългосрочен хоризонт.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Pittsburgh, College of Business Administration, study subjects: “The Efficiency of Capital Markets”;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Griffith Business School – Australia, Department of Accounting, Finance and Economics, course: Investment Analysis &amp;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Nanyang Technological University (NTU) – Singapore, course: Investment analysis and portfolio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Boston University School of Management - USA, Investment Analysis and Portfolio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London School of Economics and Political Science (LSE) – UK, course: Investment Analysis;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University of Manchester- UK, course: Investment Analysis;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Cyprus, course: Investment and Portfolio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Neapolis University of Pafos – Cyprus, course: Investment Analysis;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American Business School Paris (Paris, France), course: Investment Analysis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Konkuk University (Seoul, South Korea), course:  Technical Analysis of the Financial Markets and Investments;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American University of Rome (Rome, Italy), course: Portfolio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Bradley University – USA, course: Investment Analysis;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Academic Institution: Anglo-American University - Prague, Czech Republic, course: FIN 320 Investment Analysis and Portfolio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Northeastern University – Boston, USA. Course: Investment Analysis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Wharton School of the University of Pennsylvania USA, course: Investment Management.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Университет Gelsenkirchen, Германия, дисциплина “Investitionsmanagement”.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инвестиционния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Принципи на функциониране на финансовите пазари.</w:t>
              <w:br/>
              <w:t xml:space="preserve">2.	Методология на инвестиционния анализ.</w:t>
              <w:br/>
              <w:t xml:space="preserve">3.	Систематика на измерителите на борсовата активност.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Измерители на борсовата активност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Индикатори на борсовата активност.</w:t>
              <w:br/>
              <w:t xml:space="preserve">2.	Показатели на борсовата активност.</w:t>
              <w:br/>
              <w:t xml:space="preserve">3.	Борсови индекси.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Технически индикатори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Предимства на техническите индикатори.</w:t>
              <w:br/>
              <w:t xml:space="preserve">2.	Математически и логически инструментариум на техническите индикатори.</w:t>
              <w:br/>
              <w:t xml:space="preserve">3.	Техническите индикатори: </w:t>
              <w:br/>
              <w:t xml:space="preserve">3.1.	Показатели за посоката на пазарния тренд; </w:t>
              <w:br/>
              <w:t xml:space="preserve">3.2.	Показатели за пазарната силата (momentum);</w:t>
              <w:br/>
              <w:t xml:space="preserve">3.3.	Показатели за инвеститорското настроение (сантимент);</w:t>
              <w:br/>
              <w:t xml:space="preserve">3.4.	Осцилатори.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Вълнова теория на Елиат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постановки на вълновата теория на Ralph N. Elliott.</w:t>
              <w:br/>
              <w:t xml:space="preserve">2.  Фактори, изследвани от вълновия принципи (графични формации).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Mетоди и модели за фундаментално оценяване на финансови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и модели за оценка.</w:t>
              <w:br/>
              <w:t xml:space="preserve">2. Избор на метод и модел за оценяване.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Фундаментален анализ на капиталовите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Фундаментален анализ на акции.</w:t>
              <w:br/>
              <w:t xml:space="preserve">2.  Фундаментален анализ на облигации.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Календарни аномалии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Пазарна цикличност и календарни аномалии.</w:t>
              <w:br/>
              <w:t xml:space="preserve">2.	Изследване на българския фондов пазар за пазарни аномалии.</w:t>
              <w:br/>
              <w:t xml:space="preserve">3.	Пазарна ефективност и аномалии.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СИМЕОНОВ, Ст., ГАНЧЕВ, Aл.  ИНВЕСТИЦИОНЕН АНАЛИЗ с включен изпитен казус (формат А4): АИ „Ценов“, Свищов, 2012.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Къркпатрик, Ч. и Дж. Далкуист. „Технически анализ, пълен справочник за технически анализатори на финансовите пазари”, Актив Плюс Партнерс ООД – Русе, 2010 г. ISBN 978-954-92-557-1-3.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Симеонов, Ст. „Измерители на борсовата активност - изследване на индикаторите и анализ на пазарния тренд“ // Библиотека „Стопански свят“, бр. 131, Академично издателство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Ценков, Вл. Пазарна ефективност на капиталовите пазари от Централна и Източна Европа. Благоевград.</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Георгиева, С. Следкризисна динамика на капиталовите пазари.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Симеонов, Ст. и Ламай, Б. (2020) „Допълване на инвестиционния профил с франчизната стойност, анализ на дружества от SOFIX“, E-Journal VFU, Бр.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Симеонов, Ст. (2020) „Анализ на активността на основните източноазиатски фондови борси (в периода 2007 – 2019 г.)“. E-Journal VFU, Бр. 13. 1,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Симеонов, Ст.; Тодоров, Т. и Николаев, Д.  „Изследване на факторното влияние върху активността на Българска фондова борса“. Сборник статии от Юбилейна международна научна конфе¬ренция 70 години Институт за икономически изследвания при БАН „Икономи-ческо развитие и политики: реалности и перспективи“.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Симеонов, Ст., Николаев, Д. и Тодоров, Т. „Детерминанти на борсовата активност в условията на българския фондов пазар“. Електронно списание „Диалог“, бр. 1,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Симеонов, Ст., Тодоров, Т. и Николаев, Д. „Прогнозиране курса на най-разпространените криптовалути“. Списание „Финанси“, бр. 1,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Симеонов, Ст.; Тодоров, Т. и Николаев, Д. „Развитие на честотния анализ на променливостта в модел за прогнозиране тренда на финансовите пазари и сравнителна емпирична оценка с техническия анализ“, Елек¬тронно списание „Диалог“, Бр. 1,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Simeonov, St. and Todorov, T. „Designing the Investment Profile of the Shares Traded on the Bulgarian Stock Exchange, in the period from august 2016 to december 2017“, Interuniversity Journal Economics 21, Year VIII, Book 1,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Carlson, Ed. George Lindsay. The Art of Technical Analysis: Trading Systems of a Market Master, FT Press; ISBN-13: 978-01326990681, 1-st edition (August 1,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Charles D. Kirkpatrick, Julie R. Dahlquist, Technical Analysis: The Complete Resource for Financial Market Technicians, FT Press; 2-nd edition. ISBN-13: 978-0137059447 (November 25,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Charles, P. Investments: Analysis and Management, Jones Wiley; 11-th edition. ISBN-13: 978-0470477120; (October 27,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Edwin J. Elton, Martin J. Gruber, Stephen J. Brown, William N. Goetzmann. Modern Portfolio Theory and Investment Analysis, Wiley, 8 edition ISBN-13: 978-0470388327. (November 16,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Frank J. Fabozzi. Bond Markets, Analysis and Strategies, Prentice Hall; 8-th edition. ISBN-13: 978-0132743549 (January 16,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Frank J. Fabozzi CFA, Harry M. Equity Valuation and Portfolio Management. Markowitz, Wiley; 1 edition, ISBN-13: 978-0470929919 (October 4,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Frank K. Reilly, Keith C. Investment Analysis and Portfolio Management, Brown, South-Western College Pub. ISBN-13: 978-0538482387, 10 edition (December 9,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Geoffrey, H. and Stanley Block. Fundamentals of Investment Management, McGraw-Hill/Irwin; 10 edition, ISBN-13: 978-0078034626. (June 20,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Glen Neely. “Mastering Elliot Wave: Presenting the Neely Method: The First Scientific, Objective Approach to Market Forecasting with the Elliott Wave Theory”, Windsor Books,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Ian Copsey. Harmonic Elliott Wave: The Case for Modification of R. N. Elliotts Impulsive Wave Structure, Wiley; 1 edition ISBN-13: 978-0470828700. (June 7, 2011).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https://finance.yahoo.com/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https://www.investor.bg/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Стефан Симеонов)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Александър Ганчев)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Цветан Павлов)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Стоян Проданов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