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20.05.2025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09.05.2025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Централно банкиране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ФФ-КФК-М-322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ФФ-КФК-М-322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„Централно банкиране” се изучава от студентите – редовна и дистанционна форма на обучение в магистърската специалност “Банков мениджмънт”. Целта на курса е придобиването на теоретически и практико-приложни знания за същността, особеностите и спецификата на дейността на централната банка и провежданите от нея парично-кредитна и надзорна политики.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курса са знанията, получени по дисциплините: “Теория на парите”, “Въведение в банковото дело”, “Банков анализ”. Материалът, който се обхваща е нов за студентите и има изразен иновационен характер. Акцентът в учебно-преподавателската работа се поставя върху трансмисионния механизъм на провежданата от Централната банка политика и нейното въздействие както върху банковия сектор, така и върху икономиката като цяло.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Прилагат се делови игри, приложни проучвания, тестова подготовка, решаване на задачи чрез разработени указания по технологията „стъпка-по-стъпка“. Използват се различни технически средства за обучение, като основният академичен текст, осигуряващ курса е достъпен на хартиен носител и в дигитален формат. Допълнителни материали в полза на обучението по курса са достъпни в ИНТЕРНЕТ среда.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Студентите ще придобият знания свързани с паричната политика, която осъществява централната банка - целите, инструментите  и стратегиите, които използва.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Учебната дисциплина под същото или сходно наименование се преподава в University of Glasgow, Euclid University, Central European University, Cambridge University, University of Vermont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Относно еволюцията на парите – същност, форми и функции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Относно същността на парите
</w:t>
              <w:br/>
              <w:t xml:space="preserve">	Относно същността на формите на парите 
</w:t>
              <w:br/>
              <w:t xml:space="preserve">	Относно функциите на парите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Количествени аспекти на парите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Количествена теория за парите 
</w:t>
              <w:br/>
              <w:t xml:space="preserve">	Парична емисия и парични агрегати
</w:t>
              <w:br/>
              <w:t xml:space="preserve">	Парично предлагане и парично търсене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Възникване и развитие на централните банки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Възникване и развитие на централните банки 
</w:t>
              <w:br/>
              <w:t xml:space="preserve">	Място и роля на централната банка в икономиката
</w:t>
              <w:br/>
              <w:t xml:space="preserve">	Функции на централна банка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 Основи на парично-кредитната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Същност и цели на парично-кредитната политика
</w:t>
              <w:br/>
              <w:t xml:space="preserve">	Избор на цели на парично-кредитната политика
</w:t>
              <w:br/>
              <w:t xml:space="preserve">	Основни и междинни цели на парично-кредитната политика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Стратегии за парично-кредитната политика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Същност и обхват на стратегиите за парично-кредитната политика
</w:t>
              <w:br/>
              <w:t xml:space="preserve">	Избор на способ за реализация на целите на парично-кредитната политика
</w:t>
              <w:br/>
              <w:t xml:space="preserve">	Таргетиране на валутния курс
</w:t>
              <w:br/>
              <w:t xml:space="preserve">	Парично таргетиране
</w:t>
              <w:br/>
              <w:t xml:space="preserve">	Инфлационно таргетиране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Централна банка и регулации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	Съвременни банкови регулации 
</w:t>
              <w:br/>
              <w:t xml:space="preserve">	Банков надзор в България
</w:t>
              <w:br/>
              <w:t xml:space="preserve">	Банков надзор в ЕС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VII.  Студентско практико-приложно изследване – семестриален казус по "Централно банкиране"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Методически указания по комплексен семестриален казус по «Централно банкиране»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MS Excel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"Централно банкиране"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и колектив. (2017). Централно банкиране (А4). АИ  „Ценов“.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Милинов, В. (2008). Еволюция на парите и паричната политика. Стопански свят, Свищов.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Божинов, Б. (2013). Мениджмънт на банковите разплащания. АИ „Ценов“.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Вътев, Ж. и др. (2013). Анализ на банковата дейност. АИ „Ценов“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БНБ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кредитните институции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платежните услуги и платежните системи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възстановяване и преструктуриране на кредитни институции и инвестиционни посредници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http://www.bnb.bg/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http://www.ecb.europa.eu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https://www.federalreserve.gov/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https://www.snb.ch/en/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доц. д-р Валентин Милинов)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