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Данъчна политика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ФФ-КФК-М-317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ФФ-КФК-М-317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“Данъчна политика” се изучава от студентите – редовна и дистанционна форма на обучение в магистърската специалност “Финансово управление в публичния сектор”. Целта на курса е придобиването на теоретически и практико-приложни знания за същността, особеностите и спецификата на дейността на финансовата и данъчната администрация и провежданата от нея данъчна политика.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курса са знанията, получени по дисциплините: “Въведение във финансите”, “Техника на данъчното облагане”, “Финансова и данъчна администрация”.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Акцентът в учебно-преподавателската работа се поставя върху механизма на провежданата правителствена данъчна политика и нейното въздействие както върху отделните икономически агенти, така и върху икономиката като цяло. Разработват се тестове и казуси, използват се интерактивни технически средства за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делови/ролеви игри, дискусии, лекции, мозъчни атаки, директни инструкции, независими/групови проекти. Използват се различни технически средства за обучение. Курсът е обезпечен с достъпен основен академичен текст, както и с допълнителни материали за обучението, в т.ч. нормативни разпоредби и интернет ресурси.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Придобиване на знания, умения и компетенции в областта на данъчната политика на Р България.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Business Economics and Public Policy University of Michigan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Australian National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Political Science University of Alaska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Virginia - College of Arts and Sciences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North Carolina at Chapel Hill.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КОНЦЕПТУАЛНА РАМКА НА ДАНЪЧНАТА ПОЛИТИКА КАТО КОМПЛЕКСНА ИКОНОМИЧЕСКА КАТЕГОРИЯ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Теоретични концепции относно формирането на данъчна политика
</w:t>
              <w:br/>
              <w:t xml:space="preserve">2.	Въздействие на данъчното бреме върху икономиката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ДАНЪЧНА СИСТЕМА НА БЪЛГАРИЯ: КОНЦЕПЦИЯ, ЕЛЕМЕНТИ, СТРУКТУРАЪЛГАРИЯ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Специфика на данъчното облагане на доходите на физически и юридически лица 
</w:t>
              <w:br/>
              <w:t xml:space="preserve">2.	Тенденции на данъчното облагане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ХАРАКТЕРИСТИКА НА ДАНЪЧНАТА СИСТЕМА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Акцизът в системата на данъчните приходи в Р България
</w:t>
              <w:br/>
              <w:t xml:space="preserve">2.	Освобождаване от акцизно задължение
</w:t>
              <w:br/>
              <w:t xml:space="preserve">3.	Хармонизация на акцизната политика в 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АКЦИЗНА ПОЛИТИКА НА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Мита и митнически режими 
</w:t>
              <w:br/>
              <w:t xml:space="preserve">2. Митата в системата на данъчните приходи в Р. България
</w:t>
              <w:br/>
              <w:t xml:space="preserve">3.Митнически освобождавания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МИТНИЧЕСКА ПОЛИТИКА НА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 Обща характеристика на хармонизацията на данъчното облагане в Европейския съюз
</w:t>
              <w:br/>
              <w:t xml:space="preserve">2.	Данъчна конкуренция и/или данъчна хармонизация 
</w:t>
              <w:br/>
              <w:t xml:space="preserve">3.	Хармонизация в  областта на косвеното данъчно облагане
</w:t>
              <w:br/>
              <w:t xml:space="preserve">4.	Координация в областта на подоходното данъчно облагане
</w:t>
              <w:br/>
              <w:t xml:space="preserve">5.	Хармонизация на данъчното облагане в Р. България
</w:t>
              <w:br/>
              <w:t xml:space="preserve">6.	Двойно данъчно облагане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ФИСКАЛНА КОНСОЛИДАЦИЯ В РАМКИТЕ НА ЕВРОПЕЙСКИЯ СЪЮЗ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Структура на митническата администрация в България
</w:t>
              <w:br/>
              <w:t xml:space="preserve">2.	Дейност на митническата администрация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ДВОЙНО ДАНЪЧНО ОБЛАГАНЕ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Структура на данъчната администрация в България
</w:t>
              <w:br/>
              <w:t xml:space="preserve">2.	Дейност на данъчната администрация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"Данъчна политика"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Т., Лилова. Р., Радулова, А. (2016). Данъчна политика (А4). Свищов, АИ „Ценов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 и колектив. (2017). Техника на данъчното облагане. (А4) АИ „Ценов“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90/435/ЕИО и Директива 2003/123/ ЕО на Съвета.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1186/2009 НА СЪВЕТА от 16 ноември 2009 година за установяване на система на Общността за митнически освобождавания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EUROPEAN COMMISSION, Excise duty tables, Part I, REF 1041/July 2014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http://portal.nap.bg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http://www.customs.bg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онлайн пълнотекстови бази данни (SSRN, SocioNet, Research Gate, и др.)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Валентин Милинов)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