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Глобално и регионално регулиране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придобиване на теоретически и практико-приложни знания относно необходимостта от глобално и регионално регулиране на икономическите процеси. Учебният курс има обобщаващ характер, основаващ се на теоретични постановки на водещи икономисти от света и страната, анализи на основни макроикономически параметри и интерпретации на теоретичните постановки в практиката. Актуалността на учебния курс е предопределена от непрекъснато променящите се социално-икономически характеристики и функции на съвременната държава и нарастващите предизвикателства към методите за управление и стабилизиране на икономическите системи.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акценти в учебното съдържание се поставят върху теоретичното изследване на необходимостта от намеса на държавата в икономиката, идентифициране на необходимостта и целите на държавното регулиране на икономиката като цяло и на основни икономически параметри и категории, анализиране на посоките на въздействие на финансово-икономическата криза върху икономическите субекти. Особен интерес представлява възможността за запознаване с нормативната база за установяване на регулаторни режими върху равнището на цените в България и в рамките на ЕС и механизмите за регулиране на пазара на труда.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подходи за екипна работа чрез дебати, дискусии, делови игри, споделяне на опит разработването на групови проекти, разсъждение по предварително поставени казуси и практически задания, с моделирани уникални изходни данни.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Усвояването на материала гарантира формирането на ново мислене относно концепциите, методите и подходите за решаване на задълбочаващите се социално-икономическите проблеми в глобален, регионален и национален обхват в условията на трансформация на икономическите системи.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„Глобално и регионално регулиране“ студенти, затвърждават придобитите по време на следването си качества и умения като: комуникативност, водене на преговори, инициативност, отговорност, презентаторски и ораторски възможности,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Amsterdam, Holand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Indian institute of banking and finance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New York institute of finance,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International faculty of finance,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ИЗМЕРЕНИЯ НА ДЪРЖАВНОТО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държавно регулиране на икономиката
</w:t>
              <w:br/>
              <w:t xml:space="preserve">2.	Функции на съвременната държава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ДЪРЖАВНО РЕГУЛИРАНЕ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
</w:t>
              <w:br/>
              <w:t xml:space="preserve">2.	Форми за регулиране на цените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ЗАЩИТА НА КОНКУРЕНЦИЯТА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Национално законодателство и органи по защита на конкуренцията
</w:t>
              <w:br/>
              <w:t xml:space="preserve">2. Приоритети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ДЪРЖАВНО РЕГУЛИРАНЕ НА ЕНЕРГЕТИКАТА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и държавно управление в енергетиката
</w:t>
              <w:br/>
              <w:t xml:space="preserve">2. Държавно регулиране в енергетиката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ДЪРЖАВНО РЕГУЛИРАНЕ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специфика на пазара на труда
</w:t>
              <w:br/>
              <w:t xml:space="preserve">2. Основни задачи на държавното регулиране на пазара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ДЪРЖАВНО РЕГУЛИРАНЕ НА ПАЗАРА НА ТРУДА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Нормативни и програмни документи за регулиране на пазара на труда в България.
</w:t>
              <w:br/>
              <w:t xml:space="preserve">2. Национални и регионални органи по заетостта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"Глобално и регионално регулиране"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Радулова, А. (2014). Глобално и регионално регулиране. Свищов, АИ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И. (2011) Поуки от световната криза за икономическата теория. // Икономика 21, бр. 2,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И. и др., (2003). Стратегия за догонващо икономическо развитие до 2020 година, С., 2003, гл. III,3.1. „Развитието като трансформация на обществото”,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Цв. (2010). Икономика на знанието. Предизвикателства на макро и микро равнище. Изд. на МВБУ,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Кирова, Ал. (2010). Новото кейнсианство. Микроикономически основи и връзка с макроикономическата политика. Изд. на УНСС,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 (2001). Обща теория на заетостта, лихвата и парите. „Princeps”,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Colombatto, Е. (2004). Sulle dinamiche del ciclo misesiano. Università di Torino e ICER, Working Paper No.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Li, Q. and Atkins, D. (2002). Coordinating Replenishment and Pricing in a Firm, Manufacturing &amp; Service Operations Management, INFORMS, Vol. 4, №4.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R. (1939). The Voluntary Exchange Theory of Public Economy. Quarterly Journal of Economics., 53, Feb 193T.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държавните помощи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енергетиката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енергийната ефективност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действие по заетостта 2017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държавните помощи.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http://www.nbu.bg/PUBLIC/IMAGES/File/departments/law/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http://www.strategy.bg/StrategicDocuments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