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 и бюджетна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формира знания, умения и компетенции в областта на бюджета и бюджетната политика. В конкретика учебното съдържание е насочено към изясняване на основни теоретични, нормативни и практико-приложни постановки относно бюджетната структура на РБългария, бюджетните процедури, бюджетните взаимоотношения, бюджетните приходи, бюджетните разходи, държавния дълг.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„Бюджет и бюджетна политика“ стартирането на курса на обучение предполага наличието на базови знания за същността и зависимостта между макроикономическите променливи, отделните сектори на националното стопанство, възникващите разпределителни и преразпределителни процеси в обществото.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„Бюджет и бюджетна политика“ изискват познания относно същността на разпределителните и преразпределителните процеси в икономическата система, икономическия смисъл на основни понятия и категории, касаещи тези процеси, зависимостта между икономическите променливи на макро ниво, динамиката на изменение на бюджетните приходи и разходи и необходимостта от „организирано“ управление на входящите и изходящите парични потоци в държавата, които се придобиват след изучаване на дисциплини като Макроикономика, Статистика и Теория на финансите.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„Бюджет и бюджетна политика“ гарантира придобиването на знания относно основните закономерности на процесите по разпределение и преразпределение на националния доход и принципите на управление на паричните потоци в държавата, компетенции за прилагане на получените знания и практически умения за управление на паричните потоци към държавните и местните бюджети.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„Бюджет и бюджетна политика“ студенти, затвърждават придобитите по време на следването си качества и умения като: комуникативност,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БЮДЖЕТ И БЮДЖЕТНА СТРУКТУРА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бюджета
</w:t>
              <w:br/>
              <w:t xml:space="preserve">2. Бюджетна структура и трансфери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Принципни положения в Закона за публичните финанси и Закона за финансово управление и контрол в публичния сектор
</w:t>
              <w:br/>
              <w:t xml:space="preserve">2. Специфика на Закона за Държавния бюджет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 БЮДЖЕТНИ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
</w:t>
              <w:br/>
              <w:t xml:space="preserve">2.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БЮДЖЕТНИ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бюджетните приходи
</w:t>
              <w:br/>
              <w:t xml:space="preserve">2.Класификация на приходите в бюджета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Характеристики на държавните разходи
</w:t>
              <w:br/>
              <w:t xml:space="preserve">2. Класификация на държавните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.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
</w:t>
              <w:br/>
              <w:t xml:space="preserve">2. Управление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Бюджет и бюджетна политика (избрани лекции)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и Л. Богданов, Бюджетен процес и бюджетна прозрачност, Състояние и препоръки., Институт”Отворено общество”,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Кирова, Ал. Новото кейнсианство. Микроикономически основи и връзка с макроикономическата политика. Изд. на УНСС, С., 2010.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