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политика на 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ФФ-КФК-Б-378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ФФ-КФК-Б-378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„Финансова политика на ЕС“ има за цел обогатяване познанията на студентите по протичащите процеси на финансово-икономическа интеграция на ЕС и усъвършенстване параметрите на общия Европейски пазар. Предлаганите в курса теми засягат въпроси свързани с основни характеристики на общата финансова политика на Евросъюза – икономическа и валутна интеграция, общата фискална политика и средствата и методите за финансиране изпълнението на общите политики на Съюза.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предлаганите в курса сфери на познание изискват от студентите широки познания в областта на фискалната политика на държавата и взаимодействието между основните й елементи – данъчна, бюджетна и парична политика, базови знания за същността и динамиката на основните макроикономически променливи и въздействието им върху икономическото развитие на страната, като предпоставка за анализ на протичащите процеси по създаване и функциониране на Общия европейски пазар.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тази връзка им помагат познанията, получени при изучаването на „Теория на финансите“, „Теория на парите“ и „Бюджет и бюджетна политика“.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и подходи за екипна работа чрез дебати, дискусии, споделяне на опит разработването на групови проекти, разсъждение по предварително поставени казуси и практически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преминаване на курса по „Финансова политика на ЕС“ гарантира придобиването на знания относно тенденциите в процесите по икономическа и финансова интеграция в рамките на ЕС, източниците на финансови ресурси за реализиране на политиките на Съюза, управлението на бюджетните разходи, спецификата на фискалната и паричната политика.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резултат, преминалите курса на обучение по „Финансова политика на ЕС“ студенти, затвърждават придобитите по време на следването си качества и умения като: комуникативност, водене на преговори, инициативност, отговорност, презентаторски и ораторски умения, работа в екип и самостоятелно решаване на проблемни ситуации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„Св. Св. Кирил и Методий“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 НОРМАТИВНА РЕГЛАМЕНТАЦИЯ НА ПОЛИТИКИТЕ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Приложно поле
</w:t>
              <w:br/>
              <w:t xml:space="preserve">2.	Компетентни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ФИСКАЛНА ПОЛИТИКА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фискалната политика
</w:t>
              <w:br/>
              <w:t xml:space="preserve">2. Инструментариум на фискалната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ФИНАНСИРАНЕ ПОЛИТИКИТЕ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за финансиране на европейските политики
</w:t>
              <w:br/>
              <w:t xml:space="preserve">2.	Обхват на европейските политики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РАЗХОДНА ПОЛИТИКА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разходната политика на ЕС
</w:t>
              <w:br/>
              <w:t xml:space="preserve">2.	Приоритизиране на разходите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ПАРИЧНА ПОЛИТИКА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паричната политика на ЕС
</w:t>
              <w:br/>
              <w:t xml:space="preserve">2.	Роля на финансовите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СПЕЦИФИКА НА ПРОГРАМИТЕ НА ЕС И РБЪЛГАРИЯ ЗА ИЗПЪЛНЕНИЕ ПОЛИТИКИТЕ НА ОБЩНОСТТА ЗА ПЕРИОДА 2021-2027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
</w:t>
              <w:br/>
              <w:t xml:space="preserve">2. Целева насоченост на програмите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КОМПЛЕКСНО СТУДЕНТСКО ПРАКТИКО-ПРИЛОЖНО ИЗСЛЕДВАНЕ -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Въвеждаща проблематика
</w:t>
              <w:br/>
              <w:t xml:space="preserve">2. Технология и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"Финансова политика на ЕС"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Разходна политика и контрол върху общия бюджет на ЕС. Народностопански архив, LXV, бр. 1, 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Димитрова, Т. Радулова, А. Проектно финансиране. Свищов, 2015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(ЕС, ЕВРАТОМ) № 966/2012 НА ЕВРОПЕЙСКИЯ ПАРЛАМЕНТ И НА СЪВЕТА от 25 октомври 2012  относно финансовите правила, приложими за общия бюджет на Съюза и за отмяна на Регламент (ЕО, Евратом) № 1605/2002 на Съвета.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от 2 декември 2013 г. между Европейския парламент, Съвета и Комисията относно бюджетната дисциплина, сътрудничеството по бюджетните въпроси и относно доброто финансово управление (ОВ 373, 20.12.2013 г., стр.1).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http://www.ecb.int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