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ФИНАНСИ И КРЕДИТ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Андрей Захариев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14.09.2022</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07.09.2022</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6BC538DA" w14:textId="77777777" w:rsidR="00DD3041" w:rsidRPr="00C10B36" w:rsidRDefault="00DD3041" w:rsidP="00DD3041">
            <w:pPr>
              <w:jc w:val="center"/>
              <w:rPr>
                <w:rFonts w:ascii="Times New Roman" w:hAnsi="Times New Roman"/>
                <w:b/>
                <w:sz w:val="24"/>
                <w:szCs w:val="24"/>
                <w:lang w:val="bg-BG"/>
              </w:rPr>
            </w:pPr>
          </w:p>
          <w:p w14:paraId="082305CD" w14:textId="77777777" w:rsidR="00A34223" w:rsidRPr="00C10B36" w:rsidRDefault="00A34223"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Въведение във финансите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ФФ-КФК-Б-367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0C2D48BC" w14:textId="77777777" w:rsidR="00845130" w:rsidRPr="00C10B36" w:rsidRDefault="00845130" w:rsidP="00DD3041">
            <w:pPr>
              <w:rPr>
                <w:rFonts w:ascii="Times New Roman" w:hAnsi="Times New Roman"/>
                <w:sz w:val="24"/>
                <w:szCs w:val="24"/>
                <w:lang w:val="bg-BG"/>
              </w:rPr>
            </w:pPr>
          </w:p>
          <w:p w14:paraId="404C0DC4" w14:textId="77777777" w:rsidR="00845130" w:rsidRPr="00C10B36" w:rsidRDefault="00845130" w:rsidP="00DD3041">
            <w:pPr>
              <w:rPr>
                <w:rFonts w:ascii="Times New Roman" w:hAnsi="Times New Roman"/>
                <w:sz w:val="24"/>
                <w:szCs w:val="24"/>
                <w:lang w:val="bg-BG"/>
              </w:rPr>
            </w:pPr>
          </w:p>
          <w:p w14:paraId="40B8FE41" w14:textId="77777777" w:rsidR="00845130" w:rsidRPr="00D00320" w:rsidRDefault="00845130" w:rsidP="00DD3041">
            <w:pPr>
              <w:rPr>
                <w:rFonts w:ascii="Times New Roman" w:hAnsi="Times New Roman"/>
                <w:sz w:val="24"/>
                <w:szCs w:val="24"/>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67FD77D3" w14:textId="77777777" w:rsidR="00A34223" w:rsidRPr="00C10B36" w:rsidRDefault="00A34223" w:rsidP="00DD3041">
            <w:pPr>
              <w:rPr>
                <w:rFonts w:ascii="Times New Roman" w:hAnsi="Times New Roman"/>
                <w:sz w:val="24"/>
                <w:szCs w:val="24"/>
                <w:lang w:val="bg-BG"/>
              </w:rPr>
            </w:pPr>
          </w:p>
          <w:p w14:paraId="01EAB6F1" w14:textId="77777777" w:rsidR="00A34223" w:rsidRPr="00C10B36" w:rsidRDefault="00A34223"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ФФ-КФК-Б-367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v.01/2022</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/аудиторна и извънаудиторна/</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2. Извънаудиторна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16B32ED3" w:rsidR="00C32E02" w:rsidRPr="00AB7A25" w:rsidRDefault="00CF40F4" w:rsidP="006A52F9">
      <w:pPr>
        <w:overflowPunct/>
        <w:autoSpaceDE/>
        <w:autoSpaceDN/>
        <w:adjustRightInd/>
        <w:textAlignment w:val="auto"/>
        <w:rPr>
          <w:rFonts w:ascii="Times New Roman" w:hAnsi="Times New Roman"/>
          <w:b/>
          <w:sz w:val="28"/>
          <w:szCs w:val="24"/>
        </w:rPr>
      </w:pPr>
      <w:r>
        <w:rPr>
          <w:rFonts w:ascii="Times New Roman" w:hAnsi="Times New Roman"/>
          <w:b/>
          <w:sz w:val="28"/>
          <w:szCs w:val="24"/>
          <w:lang w:val="bg-BG"/>
        </w:rPr>
        <w:br w:type="page"/>
      </w: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lastRenderedPageBreak/>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15%</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Въпроси от открит и закрит тип</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„Въведение във финансите.“ е включена в учебния план на специалности „Индустриален бизнес и предприемачество“, „Аграрна икономика“ и „Икономика на туризма“ (съвместни програми)“, които се реализират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по "Въведение във финансите" представя основните методи и форми на държавното финансово разпределение на фона на утвърдените концепции на неокласическата и кейнсианската школа, които представляват две крайности в икономическото и финансовото мислене. Заедно с идеите на неокласическия синтез, който се опитва да примири кейсианството с неокласическата школа и стои най-близо до практиката, съществено място се отделя на концепциите за данъчното въздействие, бюджетното регулиране и дефицитното финансиране.</w:t>
      </w:r>
    </w:p>
    <w:p w14:paraId="4366F864" w14:textId="161C108E" w:rsidR="00106549" w:rsidRDefault="00106549" w:rsidP="00106549">
      <w:pPr>
        <w:ind w:firstLine="709"/>
        <w:jc w:val="both"/>
        <w:rPr>
          <w:rFonts w:ascii="Times New Roman" w:hAnsi="Times New Roman"/>
        </w:rPr>
      </w:pPr>
      <w:r>
        <w:rPr>
          <w:rFonts w:ascii="Times New Roman" w:hAnsi="Times New Roman"/>
        </w:rPr>
        <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Като цяло с обхвата на учебния курс се цели:</w:t>
      </w:r>
    </w:p>
    <w:p w14:paraId="57BEE9B4" w14:textId="77777777" w:rsidR="007A3150" w:rsidRDefault="007A3150" w:rsidP="007A3150">
      <w:pPr>
        <w:ind w:firstLine="709"/>
        <w:jc w:val="both"/>
        <w:rPr>
          <w:rFonts w:ascii="Times New Roman" w:hAnsi="Times New Roman"/>
        </w:rPr>
      </w:pPr>
      <w:r>
        <w:rPr>
          <w:rFonts w:ascii="Times New Roman" w:hAnsi="Times New Roman"/>
        </w:rPr>
        <w:t>• получаване на знания за мащабите и целите на финансовото мислене;</w:t>
      </w:r>
    </w:p>
    <w:p w14:paraId="57BEE9B4" w14:textId="77777777" w:rsidR="007A3150" w:rsidRDefault="007A3150" w:rsidP="007A3150">
      <w:pPr>
        <w:ind w:firstLine="709"/>
        <w:jc w:val="both"/>
        <w:rPr>
          <w:rFonts w:ascii="Times New Roman" w:hAnsi="Times New Roman"/>
        </w:rPr>
      </w:pPr>
      <w:r>
        <w:rPr>
          <w:rFonts w:ascii="Times New Roman" w:hAnsi="Times New Roman"/>
        </w:rPr>
        <w:t>• търсене на най-вярното теоретическо обяснение и оправдание на съществуващата финансова политика;</w:t>
      </w:r>
    </w:p>
    <w:p w14:paraId="57BEE9B4" w14:textId="77777777" w:rsidR="007A3150" w:rsidRDefault="007A3150" w:rsidP="007A3150">
      <w:pPr>
        <w:ind w:firstLine="709"/>
        <w:jc w:val="both"/>
        <w:rPr>
          <w:rFonts w:ascii="Times New Roman" w:hAnsi="Times New Roman"/>
        </w:rPr>
      </w:pPr>
      <w:r>
        <w:rPr>
          <w:rFonts w:ascii="Times New Roman" w:hAnsi="Times New Roman"/>
        </w:rPr>
        <w:t>• ориентация към по-малко изследвани и актуални проблеми на финансовата теория и практика.</w:t>
      </w:r>
    </w:p>
    <w:p w14:paraId="57BEE9B4" w14:textId="77777777" w:rsidR="007A3150" w:rsidRDefault="007A3150" w:rsidP="007A3150">
      <w:pPr>
        <w:ind w:firstLine="709"/>
        <w:jc w:val="both"/>
        <w:rPr>
          <w:rFonts w:ascii="Times New Roman" w:hAnsi="Times New Roman"/>
        </w:rPr>
      </w:pPr>
      <w:r>
        <w:rPr>
          <w:rFonts w:ascii="Times New Roman" w:hAnsi="Times New Roman"/>
        </w:rPr>
        <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 „При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 </w:t>
      </w:r>
    </w:p>
    <w:p w14:paraId="3EFBF371" w14:textId="5BCB3AD9" w:rsidR="006D3B5D" w:rsidRDefault="006D3B5D" w:rsidP="00BA4B91">
      <w:pPr>
        <w:ind w:firstLine="709"/>
        <w:jc w:val="both"/>
        <w:rPr>
          <w:rFonts w:ascii="Times New Roman" w:hAnsi="Times New Roman"/>
        </w:rPr>
      </w:pPr>
      <w:r>
        <w:rPr>
          <w:rFonts w:ascii="Times New Roman" w:hAnsi="Times New Roman"/>
        </w:rPr>
        <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lastRenderedPageBreak/>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 „При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w:t>
      </w:r>
    </w:p>
    <w:p w14:paraId="0510FAB4" w14:textId="488C766D"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 </w:t>
      </w:r>
    </w:p>
    <w:p w14:paraId="0510FAB4" w14:textId="488C766D" w:rsidR="006D3B5D" w:rsidRDefault="006D3B5D" w:rsidP="00BA4B91">
      <w:pPr>
        <w:ind w:firstLine="709"/>
        <w:jc w:val="both"/>
        <w:rPr>
          <w:rFonts w:ascii="Times New Roman" w:hAnsi="Times New Roman"/>
        </w:rPr>
      </w:pPr>
      <w:r>
        <w:rPr>
          <w:rFonts w:ascii="Times New Roman" w:hAnsi="Times New Roman"/>
        </w:rPr>
        <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тематично отношение учебният курс дава систематизирани знания и развива компетенции за вземане на адекватни решения в сферата на държавните финанси, в т.ч. държавни приходи, държавни разходи, държавен бюджет, данъци, държавен дълг, местни финанси, политики на ЕС в областта на държавните финанси и др.</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Учебният курс е основа за задълбочаване и конкретизиране на знанията и уменията в профилиращите финансови дисциплини.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London Business School,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Oxford University,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Amsterdam Institute of Finance, Holland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California, USA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Princeton University, USA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INSEAD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Florence University, Italy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w:t>
            </w:r>
            <w:r>
              <w:rPr>
                <w:rFonts w:ascii="Times New Roman" w:hAnsi="Times New Roman"/>
                <w:b/>
                <w:sz w:val="24"/>
                <w:szCs w:val="24"/>
              </w:rPr>
              <w:t>Тема I. ВЪВЕДЕНИЕ ВЪВ ФИНАНСОВАТА ТЕОРИЯ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Брутен продукт, национален доход и национално богатство</w:t>
              <w:br/>
              <w:t xml:space="preserve">2. Кръгооборот на паричните потоци в националната икономика</w:t>
              <w:br/>
              <w:t xml:space="preserve">3. Национална парична и международна валутна системи</w:t>
              <w:br/>
              <w:t xml:space="preserve">4. Публични финанси, национален бюджет и европейски средства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${temi#2}</w:t>
            </w:r>
            <w:r>
              <w:rPr>
                <w:rFonts w:ascii="Times New Roman" w:hAnsi="Times New Roman"/>
                <w:b/>
                <w:sz w:val="24"/>
                <w:szCs w:val="24"/>
              </w:rPr>
              <w:t>Тема II. ИКОНОМИКА НА БЛАГОСЪСТОЯНИЕТО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Икономическа ефективност</w:t>
              <w:br/>
              <w:t xml:space="preserve">2. Пазарни провали</w:t>
              <w:br/>
              <w:t xml:space="preserve">3. Справедливост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${temi#3}</w:t>
            </w:r>
            <w:r>
              <w:rPr>
                <w:rFonts w:ascii="Times New Roman" w:hAnsi="Times New Roman"/>
                <w:b/>
                <w:sz w:val="24"/>
                <w:szCs w:val="24"/>
              </w:rPr>
              <w:t>Тема III. ПУБЛИЧНИ БЛАГА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Икономическа природа на публичното благо</w:t>
              <w:br/>
              <w:t xml:space="preserve">2. Таксономия на публичните блага</w:t>
              <w:br/>
              <w:t xml:space="preserve">3. Ефективно доставяне на публични блага: анализ на частичното равновесие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${temi#4}</w:t>
            </w:r>
            <w:r>
              <w:rPr>
                <w:rFonts w:ascii="Times New Roman" w:hAnsi="Times New Roman"/>
                <w:b/>
                <w:sz w:val="24"/>
                <w:szCs w:val="24"/>
              </w:rPr>
              <w:t>Тема IV. ПРЕРАЗПРЕДЕЛЕНИЕ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Разпределение на дохода</w:t>
              <w:br/>
              <w:t xml:space="preserve">2. Преразпределителни съображения</w:t>
              <w:br/>
              <w:t xml:space="preserve">3. Инструменти за преразпределение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${temi#5}</w:t>
            </w:r>
            <w:r>
              <w:rPr>
                <w:rFonts w:ascii="Times New Roman" w:hAnsi="Times New Roman"/>
                <w:b/>
                <w:sz w:val="24"/>
                <w:szCs w:val="24"/>
              </w:rPr>
              <w:t>Тема V. ПУБЛИЧЕН ИЗБОР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От индивидуални предпочитания към колективни действия</w:t>
              <w:br/>
              <w:t xml:space="preserve">2. Пряка демокрация</w:t>
              <w:br/>
              <w:t xml:space="preserve">3. Представителна демокрация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${temi#6}</w:t>
            </w:r>
            <w:r>
              <w:rPr>
                <w:rFonts w:ascii="Times New Roman" w:hAnsi="Times New Roman"/>
                <w:b/>
                <w:sz w:val="24"/>
                <w:szCs w:val="24"/>
              </w:rPr>
              <w:t>Тема VI. АНАЛИЗ „РАЗХОДИ – ПОЛЗИ”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Концептуален фундамент</w:t>
              <w:br/>
              <w:t xml:space="preserve">2. Методология</w:t>
              <w:br/>
              <w:t xml:space="preserve">3. Идентификация на релевантните разходи и ползи</w:t>
              <w:br/>
              <w:t xml:space="preserve">4. Оценка на разходите и ползите</w:t>
              <w:br/>
              <w:t xml:space="preserve">5. Времева стандартизация на паричните потоци</w:t>
              <w:br/>
              <w:t xml:space="preserve">6. Риск и несигурност</w:t>
              <w:br/>
              <w:t xml:space="preserve">7. Избор на проекти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${temi#7}</w:t>
            </w:r>
            <w:r>
              <w:rPr>
                <w:rFonts w:ascii="Times New Roman" w:hAnsi="Times New Roman"/>
                <w:b/>
                <w:sz w:val="24"/>
                <w:szCs w:val="24"/>
              </w:rPr>
              <w:t>Тема VII. ДАНЪЧНО ОБЛАГАНЕ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Принципи на данъчното облагане</w:t>
              <w:br/>
              <w:t xml:space="preserve">2. „Анатомия” на данъка</w:t>
              <w:br/>
              <w:t xml:space="preserve">3. Класификация на данъците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${temi#8}</w:t>
            </w:r>
            <w:r>
              <w:rPr>
                <w:rFonts w:ascii="Times New Roman" w:hAnsi="Times New Roman"/>
                <w:b/>
                <w:sz w:val="24"/>
                <w:szCs w:val="24"/>
              </w:rPr>
              <w:t>Тема VIII. ДАНЪЧНО ОБЛАГАНЕ НА ИНДИВИДУАЛНИТЕ ДОХОДИ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Нормативен анализ за оптимално облагане на индивидуалните доходи</w:t>
              <w:br/>
              <w:t xml:space="preserve">2. Определяне на размера на данъчната основа и данъчните задължения на индивидите</w:t>
              <w:br/>
              <w:t xml:space="preserve">3. Данъчно облагане на доходите от прираста на капитала</w:t>
              <w:br/>
              <w:t xml:space="preserve">4. Данъчно облагане на индивидуалните доходи в България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${temi#9}</w:t>
            </w:r>
            <w:r>
              <w:rPr>
                <w:rFonts w:ascii="Times New Roman" w:hAnsi="Times New Roman"/>
                <w:b/>
                <w:sz w:val="24"/>
                <w:szCs w:val="24"/>
              </w:rPr>
              <w:t>Тема IX. ДАНЪЧНО ОБЛАГАНЕ НА КОРПОРАТИВНИТЕ ДОХОДИ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Възгледи за облагане на доходите на корпорациите</w:t>
              <w:br/>
              <w:t xml:space="preserve">2. Какво облага данъкът върху нетния доход на корпорациите</w:t>
              <w:br/>
              <w:t xml:space="preserve">3. Системи за облагане на корпоративните доходи</w:t>
              <w:br/>
              <w:t xml:space="preserve">4. Разпределение на данъчната тежест</w:t>
              <w:br/>
              <w:t xml:space="preserve">5. Данъчно облагане на корпоративните доходи в България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${temi#10}</w:t>
            </w:r>
            <w:r>
              <w:rPr>
                <w:rFonts w:ascii="Times New Roman" w:hAnsi="Times New Roman"/>
                <w:b/>
                <w:sz w:val="24"/>
                <w:szCs w:val="24"/>
              </w:rPr>
              <w:t>Тема X. ДАНЪЧНО ОБЛАГАНЕ НА ПОТРЕБИТЕЛСКИТЕ СТОКИ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Нормативни решения за оптимално облагане на потребителските стоки и услуги</w:t>
              <w:br/>
              <w:t xml:space="preserve">2. Данък добавена стойност: механизъм на облагане</w:t>
              <w:br/>
              <w:t xml:space="preserve">3. Облагане с данък добавена стойност в България</w:t>
              <w:br/>
              <w:t xml:space="preserve">4. Селективно облагане на стоки и услуги: акцизи</w:t>
              <w:br/>
              <w:t xml:space="preserve">5. Данъчно облагане на богатствата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${temi#11}</w:t>
            </w:r>
            <w:r>
              <w:rPr>
                <w:rFonts w:ascii="Times New Roman" w:hAnsi="Times New Roman"/>
                <w:b/>
                <w:sz w:val="24"/>
                <w:szCs w:val="24"/>
              </w:rPr>
              <w:t>Тема XI. КОНСОЛИДИРАНА ФИСКАЛНА ПРОГРАМА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Бюджетна рамка, общо устройство и структура на публичните финанси</w:t>
              <w:br/>
              <w:t xml:space="preserve">2. Годишна бюджетна процедура</w:t>
              <w:br/>
              <w:t xml:space="preserve">3. Приемане и изпълнение на националния бюджет и съставните бюджети</w:t>
              <w:br/>
              <w:t xml:space="preserve">4. Единна бюджетна класификация</w:t>
              <w:br/>
              <w:t xml:space="preserve">5. Държавни разходни отговорности и стандарти за издръжка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${temi#12}</w:t>
            </w:r>
            <w:r>
              <w:rPr>
                <w:rFonts w:ascii="Times New Roman" w:hAnsi="Times New Roman"/>
                <w:b/>
                <w:sz w:val="24"/>
                <w:szCs w:val="24"/>
              </w:rPr>
              <w:t>Тема XII. ДЕФИЦИТНО БЮДЖЕТНО ФИНАНСИРАНЕ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характеристика. Класическо виждане</w:t>
              <w:br/>
              <w:t xml:space="preserve">2. Кейнсианска теория. Принос на Хансен и Лернер</w:t>
              <w:br/>
              <w:t xml:space="preserve">3. Модел за разпределение на бремето между застъпващите се поколения</w:t>
              <w:br/>
              <w:t xml:space="preserve">4. Неокласическо виждане. Теоремата Рикардо-Бароу. Теории на Тобин и Бюкенън</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${temi#13}</w:t>
            </w:r>
            <w:r>
              <w:rPr>
                <w:rFonts w:ascii="Times New Roman" w:hAnsi="Times New Roman"/>
                <w:b/>
                <w:sz w:val="24"/>
                <w:szCs w:val="24"/>
              </w:rPr>
              <w:t>Тема XIII. ДЪРЖАВЕН ДЪЛГ И ФИСКАЛЕН РЕЗЕРВ</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Вътрешен държавен дълг. Първични дилъри и вторичен пазар на ДЦК</w:t>
              <w:br/>
              <w:t xml:space="preserve">2. Външен държавен дълг. Модел на дълговия цикъл</w:t>
              <w:br/>
              <w:t xml:space="preserve">3. Световна дългова криза</w:t>
              <w:br/>
              <w:t xml:space="preserve">4. Фискален резерв и валутен борд</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${temi#14}</w:t>
            </w:r>
            <w:r>
              <w:rPr>
                <w:rFonts w:ascii="Times New Roman" w:hAnsi="Times New Roman"/>
                <w:b/>
                <w:sz w:val="24"/>
                <w:szCs w:val="24"/>
              </w:rPr>
              <w:t>Тема XIV. ИКОНОМИКА В СЯНКА И „БЯГСТВО“ ОТ ДАНЪКА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Икономика в сянка – дефиниции и измерване</w:t>
              <w:br/>
              <w:t xml:space="preserve">2. Данъчното въздействие върху икономиката в сянка</w:t>
              <w:br/>
              <w:t xml:space="preserve">3. Бягството“ от данъка като престъпление</w:t>
              <w:br/>
              <w:t xml:space="preserve">4. Модел за оптимално „бягство” от данъка</w:t>
              <w:br/>
              <w:t xml:space="preserve">5. Въпроси за дискусия и задачи</w:t>
              <w:br/>
              <w:t xml:space="preserve">6. Мерки за борба срещу икономиката в сянка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${temi#15}</w:t>
            </w:r>
            <w:r>
              <w:rPr>
                <w:rFonts w:ascii="Times New Roman" w:hAnsi="Times New Roman"/>
                <w:b/>
                <w:sz w:val="24"/>
                <w:szCs w:val="24"/>
              </w:rPr>
              <w:t>Тема XV. ФИНАНСОВА ДЕЦЕНТРАЛИЗАЦИЯ И ОБЩИНСКИ ФИНАНСИ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Теория за клубните блага</w:t>
              <w:br/>
              <w:t xml:space="preserve">2. Финансова децентрализация. Общински разходни отговорности</w:t>
              <w:br/>
              <w:t xml:space="preserve">3. Общински бюджет, общинска собственост и разпореждане с общински активи</w:t>
              <w:br/>
              <w:t xml:space="preserve">4. Местни такси. Методика за определяне на такса битови отпадъци в България</w:t>
              <w:br/>
              <w:t xml:space="preserve">5. Облагане на богатството. Местни данъци. Имуществено облагане в България</w:t>
              <w:br/>
              <w:t xml:space="preserve">6. Общински дълг</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${temi#16}</w:t>
            </w:r>
            <w:r>
              <w:rPr>
                <w:rFonts w:ascii="Times New Roman" w:hAnsi="Times New Roman"/>
                <w:b/>
                <w:sz w:val="24"/>
                <w:szCs w:val="24"/>
              </w:rPr>
              <w:t>Тема XVI. ИКОНОМИЧЕСКИ РАСТЕЖ И ЧОВЕШКИ КАПИТАЛ</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Теории за човешкия капитал. Разходи и ползи при инвестиции в човешки капитал</w:t>
              <w:br/>
              <w:t xml:space="preserve">2. Принос на човешкия капитал за икономическия растеж</w:t>
              <w:br/>
              <w:t xml:space="preserve">3. Оптимално разпределение на разходите за формиране на човешки капитал</w:t>
              <w:br/>
              <w:t xml:space="preserve">4. Здравеопазването и социалното осигуряване в обхвата на публичния сектор на икономиката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${temi#17}</w:t>
            </w:r>
            <w:r>
              <w:rPr>
                <w:rFonts w:ascii="Times New Roman" w:hAnsi="Times New Roman"/>
                <w:b/>
                <w:sz w:val="24"/>
                <w:szCs w:val="24"/>
              </w:rPr>
              <w:t>Тема XVII. СТУДЕНТСКО ПРАКТИКО-ПРИЛОЖНО ИЗСЛЕДВАНЕ – семестриален казус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hidden/>
        </w:trPr>
        <w:tc>
          <w:tcPr>
            <w:tcW w:w="4820" w:type="dxa"/>
            <w:shd w:val="clear" w:color="auto" w:fill="D9D9D9"/>
          </w:tcPr>
          <w:p w14:paraId="2BD39866" w14:textId="1750D4EF" w:rsidR="00A56E5C" w:rsidRPr="002F782E" w:rsidRDefault="002F782E" w:rsidP="00795473">
            <w:pPr>
              <w:spacing w:line="240" w:lineRule="atLeast"/>
              <w:jc w:val="right"/>
              <w:rPr>
                <w:rFonts w:ascii="Times New Roman" w:hAnsi="Times New Roman"/>
                <w:b/>
                <w:color w:val="232323"/>
                <w:spacing w:val="-17"/>
                <w:sz w:val="28"/>
                <w:szCs w:val="28"/>
              </w:rPr>
            </w:pPr>
            <w:r w:rsidRPr="003D31E5">
              <w:rPr>
                <w:rFonts w:ascii="Times New Roman" w:hAnsi="Times New Roman"/>
                <w:b/>
                <w:vanish/>
                <w:color w:val="232323"/>
                <w:spacing w:val="-17"/>
                <w:sz w:val="28"/>
                <w:szCs w:val="28"/>
              </w:rPr>
              <w:t>${temi_sum#1}</w:t>
            </w: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bookmarkStart w:id="0" w:name="_GoBack"/>
      <w:bookmarkEnd w:id="0"/>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lastRenderedPageBreak/>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Брусарски, Р., Захариев, А. и Манлиев, Г. Финансова теория. В. Търново, ФАБЕР</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1.	Грозданов Б. Публични финанси, Абагар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2.	Коцев, Ц. колектив. Публични финанси, ИК Стено, Варна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3.	Brown, C.V., Jackson, P. M. Public sector economics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4.	Gruber, J. Public Finance and Public Policy. Worth publishers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5.	Musgrave, R., Musgrave P. Public Finance in Theory and Practice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6.	Rosen H. and Gayer T. Public Finance, Mcgraw hill international edition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7.	Seidman, L. S. Public finance, Mcgraw hill international edition, 2009 (https://library.unec.edu.az/images//Public%20Finance%20by%20Laurence%20Seidman%20(z-lib.org).pdf)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8.	S. Niggol Seo, The Economics of Globally Shared and Public Goods, 1st Edition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9.	Rafael Yanushevsky, Camilla Yanushevsky, Applied Macroeconomics for Public Policy, 1st Edition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10.	Zahariev, A, Radulova, A, Aleksandrova, A, Petrova, M., Fiscal sustainability and fiscal risk in the EU: forecasts and challenges in terms of Covid-19, Journal of Entrepreneurship and Sustainability Issues, 2021 (https://doi.org/10.9770/jesi.2021.8.3(39).</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1.	Закон за публичните финанси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2.	Закон за държавния бюджет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3.	Закон за държавния дълг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4.	Закон за общинските финанси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5.	ДОПК, ЗДДС, ЗДДФЛ, ЗКПО, ЗМДТ, ЗАДС, КСО, ЗЗО и др. свързани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6.	Европейски директиви, наредби, правилници и др.</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1.	www.minfin.bg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${authors#1}</w:t>
            </w:r>
            <w:r w:rsidRPr="00C10B36">
              <w:rPr>
                <w:rFonts w:ascii="Times New Roman" w:hAnsi="Times New Roman"/>
                <w:bCs/>
                <w:color w:val="222222"/>
                <w:sz w:val="24"/>
                <w:szCs w:val="24"/>
              </w:rPr>
              <w:t>(</w:t>
            </w:r>
            <w:r>
              <w:rPr>
                <w:rFonts w:ascii="Times New Roman" w:hAnsi="Times New Roman"/>
                <w:bCs/>
                <w:color w:val="222222"/>
                <w:sz w:val="24"/>
                <w:szCs w:val="24"/>
              </w:rPr>
              <w:t>проф. д-р Андрей Захариев)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${authors#2}</w:t>
            </w:r>
            <w:r w:rsidRPr="00C10B36">
              <w:rPr>
                <w:rFonts w:ascii="Times New Roman" w:hAnsi="Times New Roman"/>
                <w:bCs/>
                <w:color w:val="222222"/>
                <w:sz w:val="24"/>
                <w:szCs w:val="24"/>
              </w:rPr>
              <w:t>(</w:t>
            </w:r>
            <w:r>
              <w:rPr>
                <w:rFonts w:ascii="Times New Roman" w:hAnsi="Times New Roman"/>
                <w:bCs/>
                <w:color w:val="222222"/>
                <w:sz w:val="24"/>
                <w:szCs w:val="24"/>
              </w:rPr>
              <w:t>гл. ас. д-р Петко Ангелов)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${authors#3}</w:t>
            </w:r>
            <w:r w:rsidRPr="00C10B36">
              <w:rPr>
                <w:rFonts w:ascii="Times New Roman" w:hAnsi="Times New Roman"/>
                <w:bCs/>
                <w:color w:val="222222"/>
                <w:sz w:val="24"/>
                <w:szCs w:val="24"/>
              </w:rPr>
              <w:t>(</w:t>
            </w:r>
            <w:r>
              <w:rPr>
                <w:rFonts w:ascii="Times New Roman" w:hAnsi="Times New Roman"/>
                <w:bCs/>
                <w:color w:val="222222"/>
                <w:sz w:val="24"/>
                <w:szCs w:val="24"/>
              </w:rPr>
              <w:t>гл. ас. д-р Марияна Павлова-Бънова)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Стоян Проданов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9F29" w14:textId="77777777" w:rsidR="00726579" w:rsidRDefault="00726579">
      <w:r>
        <w:separator/>
      </w:r>
    </w:p>
  </w:endnote>
  <w:endnote w:type="continuationSeparator" w:id="0">
    <w:p w14:paraId="51D07832" w14:textId="77777777" w:rsidR="00726579" w:rsidRDefault="0072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5245" w14:textId="77777777" w:rsidR="005E448E" w:rsidRPr="00C32E02" w:rsidRDefault="005E448E" w:rsidP="00CA1B74">
    <w:pPr>
      <w:pStyle w:val="Footer"/>
      <w:framePr w:wrap="around" w:vAnchor="text" w:hAnchor="margin" w:xAlign="right" w:y="1"/>
      <w:rPr>
        <w:rStyle w:val="PageNumber"/>
        <w:rFonts w:ascii="Times New Roman" w:hAnsi="Times New Roman"/>
        <w:sz w:val="20"/>
        <w:lang w:val="ru-RU"/>
      </w:rPr>
    </w:pPr>
    <w:r w:rsidRPr="00C32E02">
      <w:rPr>
        <w:rStyle w:val="PageNumber"/>
        <w:rFonts w:ascii="Times New Roman" w:hAnsi="Times New Roman"/>
        <w:sz w:val="20"/>
      </w:rPr>
      <w:fldChar w:fldCharType="begin"/>
    </w:r>
    <w:r w:rsidRPr="00C32E02">
      <w:rPr>
        <w:rStyle w:val="PageNumber"/>
        <w:rFonts w:ascii="Times New Roman" w:hAnsi="Times New Roman"/>
        <w:sz w:val="20"/>
      </w:rPr>
      <w:instrText xml:space="preserve">PAGE  </w:instrText>
    </w:r>
    <w:r w:rsidRPr="00C32E02">
      <w:rPr>
        <w:rStyle w:val="PageNumber"/>
        <w:rFonts w:ascii="Times New Roman" w:hAnsi="Times New Roman"/>
        <w:sz w:val="20"/>
      </w:rPr>
      <w:fldChar w:fldCharType="separate"/>
    </w:r>
    <w:r w:rsidRPr="00C32E02">
      <w:rPr>
        <w:rStyle w:val="PageNumber"/>
        <w:rFonts w:ascii="Times New Roman" w:hAnsi="Times New Roman"/>
        <w:noProof/>
        <w:sz w:val="20"/>
        <w:lang w:val="ru-RU"/>
      </w:rPr>
      <w:t>5</w:t>
    </w:r>
    <w:r w:rsidRPr="00C32E02">
      <w:rPr>
        <w:rStyle w:val="PageNumber"/>
        <w:rFonts w:ascii="Times New Roman" w:hAnsi="Times New Roman"/>
        <w:sz w:val="20"/>
      </w:rPr>
      <w:fldChar w:fldCharType="end"/>
    </w:r>
  </w:p>
  <w:p w14:paraId="176953BF"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3EBE84E1" w14:textId="77777777" w:rsidR="005E448E" w:rsidRPr="00C32E02" w:rsidRDefault="005E448E" w:rsidP="00C32E02">
    <w:pPr>
      <w:pStyle w:val="Footer"/>
      <w:jc w:val="center"/>
      <w:rPr>
        <w:rFonts w:ascii="Times New Roman" w:hAnsi="Times New Roman"/>
        <w:i/>
        <w:sz w:val="12"/>
        <w:szCs w:val="12"/>
        <w:lang w:val="ru-RU"/>
      </w:rPr>
    </w:pPr>
  </w:p>
  <w:p w14:paraId="2DFC71F3"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5BEFFF66" w14:textId="77777777" w:rsidR="005E448E" w:rsidRPr="00C32E02" w:rsidRDefault="005E448E" w:rsidP="00CA1B74">
    <w:pPr>
      <w:pStyle w:val="Footer"/>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CF896" w14:textId="77777777" w:rsidR="00726579" w:rsidRDefault="00726579">
      <w:r>
        <w:separator/>
      </w:r>
    </w:p>
  </w:footnote>
  <w:footnote w:type="continuationSeparator" w:id="0">
    <w:p w14:paraId="4A84B4B6" w14:textId="77777777" w:rsidR="00726579" w:rsidRDefault="0072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A9D7"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62336" behindDoc="0" locked="0" layoutInCell="1" allowOverlap="1" wp14:anchorId="42C2B881" wp14:editId="432CFBFD">
          <wp:simplePos x="0" y="0"/>
          <wp:positionH relativeFrom="margin">
            <wp:align>right</wp:align>
          </wp:positionH>
          <wp:positionV relativeFrom="paragraph">
            <wp:posOffset>-22225</wp:posOffset>
          </wp:positionV>
          <wp:extent cx="2301240" cy="7239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3360" behindDoc="0" locked="0" layoutInCell="1" allowOverlap="1" wp14:anchorId="2FCBEB8F" wp14:editId="3D188DD6">
          <wp:simplePos x="0" y="0"/>
          <wp:positionH relativeFrom="column">
            <wp:posOffset>2540</wp:posOffset>
          </wp:positionH>
          <wp:positionV relativeFrom="paragraph">
            <wp:posOffset>-3175</wp:posOffset>
          </wp:positionV>
          <wp:extent cx="2318385" cy="80581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06BC9ECF"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0D252EDD"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66838895"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5F1BB416"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44D8A8C7"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46CFACA4"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7D86B694" w14:textId="750B6766" w:rsidR="005E448E" w:rsidRDefault="00726579" w:rsidP="00C32E02">
    <w:pPr>
      <w:tabs>
        <w:tab w:val="center" w:pos="4536"/>
        <w:tab w:val="right" w:pos="9072"/>
      </w:tabs>
      <w:jc w:val="center"/>
    </w:pPr>
    <w:r>
      <w:rPr>
        <w:rFonts w:ascii="Monotype Corsiva" w:hAnsi="Monotype Corsiva"/>
        <w:b/>
        <w:sz w:val="24"/>
        <w:szCs w:val="24"/>
        <w:lang w:val="bg-BG"/>
      </w:rPr>
      <w:pict w14:anchorId="7F1C6571">
        <v:rect id="_x0000_i1025" style="width:453.5pt;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726579" w:rsidP="00C32E02">
    <w:pPr>
      <w:pStyle w:val="Header"/>
    </w:pPr>
    <w:r>
      <w:rPr>
        <w:rFonts w:ascii="Monotype Corsiva" w:hAnsi="Monotype Corsiva"/>
        <w:b/>
        <w:sz w:val="24"/>
        <w:szCs w:val="24"/>
        <w:lang w:val="bg-BG"/>
      </w:rPr>
      <w:pict w14:anchorId="7C551966">
        <v:rect id="_x0000_i1026"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3321F"/>
    <w:rsid w:val="00041883"/>
    <w:rsid w:val="00046D3F"/>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18C5"/>
    <w:rsid w:val="00831D30"/>
    <w:rsid w:val="00844C87"/>
    <w:rsid w:val="00845130"/>
    <w:rsid w:val="00850D27"/>
    <w:rsid w:val="008564BE"/>
    <w:rsid w:val="00865DDB"/>
    <w:rsid w:val="0087237F"/>
    <w:rsid w:val="00872565"/>
    <w:rsid w:val="008742B5"/>
    <w:rsid w:val="00880DFD"/>
    <w:rsid w:val="00883BC3"/>
    <w:rsid w:val="008A501D"/>
    <w:rsid w:val="008D04AA"/>
    <w:rsid w:val="008D2878"/>
    <w:rsid w:val="008D3DCC"/>
    <w:rsid w:val="008D41D4"/>
    <w:rsid w:val="008E0990"/>
    <w:rsid w:val="008E0FEA"/>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C6C1E"/>
    <w:rsid w:val="00AD18D2"/>
    <w:rsid w:val="00AE7381"/>
    <w:rsid w:val="00AE7443"/>
    <w:rsid w:val="00AF457B"/>
    <w:rsid w:val="00AF6AE2"/>
    <w:rsid w:val="00B13F26"/>
    <w:rsid w:val="00B1776E"/>
    <w:rsid w:val="00B17BC0"/>
    <w:rsid w:val="00B25C9C"/>
    <w:rsid w:val="00B30503"/>
    <w:rsid w:val="00B30F00"/>
    <w:rsid w:val="00B3285A"/>
    <w:rsid w:val="00B45F2A"/>
    <w:rsid w:val="00B56852"/>
    <w:rsid w:val="00B62DE5"/>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C22A5"/>
    <w:rsid w:val="00DC2803"/>
    <w:rsid w:val="00DC6B74"/>
    <w:rsid w:val="00DD2465"/>
    <w:rsid w:val="00DD3041"/>
    <w:rsid w:val="00DD3B16"/>
    <w:rsid w:val="00DD4074"/>
    <w:rsid w:val="00DD55D6"/>
    <w:rsid w:val="00DD7FC8"/>
    <w:rsid w:val="00DE6F40"/>
    <w:rsid w:val="00E25809"/>
    <w:rsid w:val="00E26DC1"/>
    <w:rsid w:val="00E31CB3"/>
    <w:rsid w:val="00E3292D"/>
    <w:rsid w:val="00E36754"/>
    <w:rsid w:val="00E44433"/>
    <w:rsid w:val="00E44EE8"/>
    <w:rsid w:val="00E51552"/>
    <w:rsid w:val="00E52EDC"/>
    <w:rsid w:val="00E55045"/>
    <w:rsid w:val="00E55385"/>
    <w:rsid w:val="00E671AD"/>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3D9E"/>
    <w:rsid w:val="00F70126"/>
    <w:rsid w:val="00F72C6F"/>
    <w:rsid w:val="00F76B7C"/>
    <w:rsid w:val="00F83B86"/>
    <w:rsid w:val="00F8768F"/>
    <w:rsid w:val="00FA03AB"/>
    <w:rsid w:val="00FB0784"/>
    <w:rsid w:val="00FB4A23"/>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4406</TotalTime>
  <Pages>5</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Admin</cp:lastModifiedBy>
  <cp:revision>85</cp:revision>
  <cp:lastPrinted>2008-05-31T10:14:00Z</cp:lastPrinted>
  <dcterms:created xsi:type="dcterms:W3CDTF">2022-10-17T08:46:00Z</dcterms:created>
  <dcterms:modified xsi:type="dcterms:W3CDTF">2022-11-18T11:35:00Z</dcterms:modified>
</cp:coreProperties>
</file>