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Европейски валутен съюз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на знания и умения за Европейския валутен съюз като структура на ЕС. Конкретни познания за еволюцията на Европейския валутен съюз, неговите правила, механизми и критерии за членство.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Негова основа са фундаменталните курсове по „Макроикономика”, „Микроикономика”, „Въведение във финансите”. Учебният процес е осигурен чрез елректронен учебник.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Включеният в учебния курс семестриален казус дава необходимата практико-приложност на теоретичната материя.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Malta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Kaunas University of Technology, Lithuania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Latvia, Latvia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Hradec Králové,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Institute of Economic Research, Slovenia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Babes-Bolyai University –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Tartu, Estonia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Technical University of Kosice,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Lodz,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Economic Integration, Monetary Union, and EU Accession Countries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Run-up to the Creation of the Euro: a Historical Perspective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Adoption of the Euro and its Implications for the Nation State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Maastricht Criteria, EMU Acquis and Accession Countries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Benefits and Costs of the Introduction of the Euro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Institutional Arrangements towards the Single Currency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Exchange Rate Arrangements for Accession Countries and the Economic Convergence  Process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Monetary Policy Arrangements in Accession Countries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Fiscal Policy in Accession Countries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Developments in Financial Sector Legislation, Regulation and Infrastructure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Future of Economic Integration and the Further Development of the Euro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European Monetary Union and the Euro – Now and into the Future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and others. EMU and EU Accession Countries. E-Book of Malta University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