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Моделиране доходността на дълговите инструменти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ФФ-КФК-Б-329</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ФФ-КФК-Б-329</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139</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59</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34</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29</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162</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Учебният курс по „Моделиране доходността на дълговите инструменти” има за цел формирането на знания и компетенции в областта на управлението на портфейли от дългови инструменти и анализа на кривата на доходността като основен индикатор за състоянието на дълговите пазари. Чрез учебния курс студентите придобиват квалификация за управление на портфейли от дългови инструменти, моделиране на кривата на доходността и хеджиране на лихвения риск. Това дава възможност за реализация в инвестиционни фондове, пенсионни и застрахователни дружества, доверителни фондове, инвестиционни посредници и други институционални инвеститори, опериращи на дълговите пазари. След завършване на обучението си по дисциплината „Моделиране доходността на дълговите инструменти” студентите ще разполагат с конкретни умения за измерване на доходността на дълговите инструменти, изследване на характеристиките на дълговите пазари, моделирането на кривата на доходността и управлението на лихвения риск чрез формиране на портфейли от дългови инструменти.  </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 на дисциплината са знанията, формирани от учебни курсове като „Финанси на фирмата”, „Инвестиции”, „Финансов анализ”, „Бизнес оценяване“ и „Управление на портфейла“ , изучавани в бакалавърската степен на специалност „Финанси”. За приложение на конкретните методи за моделиране на доходността на дълговите инструменти дисциплината широко използва знания и умения от курсовете по статистика, висша математика (математическо моделиране) и иконометрия.</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Основните използвани методи на преподаване в рамките на дисциплината включват интерактивни лекции, казуси, симулации и решаване на практически задачи, свързани с моделирането на доходността на дълговите инструменти. </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Очакваните резултати от обучението в рамките на курса по „Моделиране доходността на дълговите инструменти” се формулират, както следва: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измерване на доходността на дълговите инструменти;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характеристиките и факторите на доходността на дълговите инструменти;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компетенции за моделиране на кривата на доходността и нейната динамика;</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Развиване на способности за управление на дългови портфейли;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Формиране на знания за същността и приложението на лихвените деривати.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Учебни курсове, свързани с моделирането на доходността на дълговите инструменти се изучават 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Massachusetts Institute of Technology (USA)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The Wharton School University of Pennsylvania (USA)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Weatherhead School of Management Case Western Reserve University (USA) - Fixed Income Markets and Their Derivatives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Nanyang Technological University (Singapore)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Jerusalem School of Business Administration Hebrew University of Jerusalem (Israel) – Fixed Income Securities.</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ИЗМЕРИТЕЛИ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на доходността на дълговите инструменти</w:t>
              <w:br/>
              <w:t xml:space="preserve">2.	Измерители на доходността на дълговите инструменти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 КОЛИЧЕСТВЕНИ ХАРАКТЕРИСТИКИ НА ДОХОДНОСТТА НА ДЪЛГОВИТЕ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Фундаментални характеристики на доходноста на дълговите инструменти</w:t>
              <w:br/>
              <w:t xml:space="preserve">2.	Характеристики на индивидуалното поведение на дълговите инструменти</w:t>
              <w:br/>
              <w:t xml:space="preserve">3.	Характеристики на вероятностното разпределение на дълговите инструменти</w:t>
              <w:br/>
              <w:t xml:space="preserve">4.	Характеристики на поведението на кривата на доходността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ФАКТОРНИ ХАРАКТЕРИСТИКИ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Фактори в рамките на националните дългови пазари</w:t>
              <w:br/>
              <w:t xml:space="preserve">1.1.	Микроикономически фактори</w:t>
              <w:br/>
              <w:t xml:space="preserve">1.2.	Макроикономически фактори</w:t>
              <w:br/>
              <w:t xml:space="preserve">2.	Фактори в рамките на международните дългови пазари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КОЛИЧЕСТВЕНИ ТЕХНИКИ ПРИ АНАЛИЗА И МОДЕЛИРАНЕТО НА ДОХОДНОСТТА НА ДЪЛГОВИТЕ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Корелационен анализ</w:t>
              <w:br/>
              <w:t xml:space="preserve">2.	Авторегресионен анализ</w:t>
              <w:br/>
              <w:t xml:space="preserve">3.	Анализ на стационарността</w:t>
              <w:br/>
              <w:t xml:space="preserve">4.	Анализ на променливостта</w:t>
              <w:br/>
              <w:t xml:space="preserve">5.	Анализ на главните компоненти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КРИВАТА НА ДОХОДНОСТТА – ОСНОВЕН ИНДИКАТОР НА СЪСТОЯНИЕТО НА ПАЗАРИТЕ НА ДЪЛГОВИ ЦЕННИ КНИЖА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Времева структура на доходността</w:t>
              <w:br/>
              <w:t xml:space="preserve">2.	Същност на кривата на доходността</w:t>
              <w:br/>
              <w:t xml:space="preserve">3.	Компоненти и характеристика на динамиката на кривата на доходността</w:t>
              <w:br/>
              <w:t xml:space="preserve">4.	Видове криви на доходността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МОДЕЛИРАНЕ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Наивни методи</w:t>
              <w:br/>
              <w:t xml:space="preserve">2.	Количествени модели</w:t>
              <w:br/>
              <w:t xml:space="preserve">2.2.	Модели на кривата на дисконтовите фактори</w:t>
              <w:br/>
              <w:t xml:space="preserve">2.3.	Модели на кривата на спот лихвените проценти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МОДЕЛИРАНЕ ДИНАМИКАТА НА КРИВАТА НА ДОХОДНОСТТА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Модели на пазарното равновесие</w:t>
              <w:br/>
              <w:t xml:space="preserve">2.	Модели на арбитражното оценяване</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УПРАВЛЕНИЕ НА ПОРТФЕЙЛ ОТ ДЪЛГОВИ ИНСТРУМЕНТИ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Пасивно управление на портфейл от дългови инструменти</w:t>
              <w:br/>
              <w:t xml:space="preserve">2.	Активно управление на портфейл от дългови инструменти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ЛИХВЕНИ ДЕРИВАТИ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3</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видове и характеристики на лихвените деривати</w:t>
              <w:br/>
              <w:t xml:space="preserve">2.	Приложение на лихвените деривати</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Eviews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 Matlab</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 MS Excel</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Ангелов А. Лихвени структури. В. Търново, Абагар, 2002.</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Choudhry, M. Analysis and Interpreting the Yield Curve. John Wiley &amp; Sons,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Choudhry, M. Bond and Money Markets: Strategy, Trading, Analysis. Elsevier,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Choudhry, M. Fixed Income Markets: Instruments, Applications, Mathematics. John Wiley &amp; Sons, 2004</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Choudhry, M. Fixed-Income Securities and Derivatives Handbook. Bloomberg Press,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Choundry, M. Bond and Money Markets: Strategy, Trading, Analysis. Elsevier, 2001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7. </w:t>
            </w:r>
            <w:r w:rsidR="007C6374">
              <w:rPr>
                <w:rFonts w:ascii="Times New Roman" w:hAnsi="Times New Roman"/>
                <w:bCs/>
                <w:color w:val="222222"/>
                <w:spacing w:val="-7"/>
                <w:sz w:val="24"/>
                <w:szCs w:val="24"/>
              </w:rPr>
              <w:t>Fabozzi, F. Fixed Income Mathematics. McGraw-Hill,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8. </w:t>
            </w:r>
            <w:r w:rsidR="007C6374">
              <w:rPr>
                <w:rFonts w:ascii="Times New Roman" w:hAnsi="Times New Roman"/>
                <w:bCs/>
                <w:color w:val="222222"/>
                <w:spacing w:val="-7"/>
                <w:sz w:val="24"/>
                <w:szCs w:val="24"/>
              </w:rPr>
              <w:t>Fabozzi, F. Duration, Convexity, and Other Bond Risk Measures. John Wiley and Sons, 1999</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9. </w:t>
            </w:r>
            <w:r w:rsidR="007C6374">
              <w:rPr>
                <w:rFonts w:ascii="Times New Roman" w:hAnsi="Times New Roman"/>
                <w:bCs/>
                <w:color w:val="222222"/>
                <w:spacing w:val="-7"/>
                <w:sz w:val="24"/>
                <w:szCs w:val="24"/>
              </w:rPr>
              <w:t>Fabozzi, F.The Handbook of Fixed Income Securities (7-th edition). McGraw-Hill, 2005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10. </w:t>
            </w:r>
            <w:r w:rsidR="007C6374">
              <w:rPr>
                <w:rFonts w:ascii="Times New Roman" w:hAnsi="Times New Roman"/>
                <w:bCs/>
                <w:color w:val="222222"/>
                <w:spacing w:val="-7"/>
                <w:sz w:val="24"/>
                <w:szCs w:val="24"/>
              </w:rPr>
              <w:t>Martellini, L., Priaulet, P. Priaulet, S. Fixed Income Securities: Valuation, Risk Management and Portfolio Strategies. John Wiley and Sons, 2003</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11. </w:t>
            </w:r>
            <w:r w:rsidR="007C6374">
              <w:rPr>
                <w:rFonts w:ascii="Times New Roman" w:hAnsi="Times New Roman"/>
                <w:bCs/>
                <w:color w:val="222222"/>
                <w:spacing w:val="-7"/>
                <w:sz w:val="24"/>
                <w:szCs w:val="24"/>
              </w:rPr>
              <w:t>Martellini, L., Priaulet, P. Fixed Income Securities: Dynamic Methods for Interest Rate Risk Pricing and Hedging. John Wiley and Sons, 2001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Александър Ганчев)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