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Мениджмънт на кредитните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в съвременната банкова система. Особен акцент е поставен върху методологията и приложимия инструментариум за управлението на стратегическата и оперативната дейност на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вход на курса служат познанията, придобити по учебните дисциплини по “Въведение в банковото дело”, “Банково обслужване на икономическите агенти”, "Банкова администрация"„Основи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Florida International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North Carolina at Charlotte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Eastern Mediterranean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МЯСТО И РОЛЯ НА БАНКОВИЯТ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банковият мениджмънт</w:t>
              <w:br/>
              <w:t xml:space="preserve">2. Същност и особености на стратегическият банков мениджмънт</w:t>
              <w:br/>
              <w:t xml:space="preserve">3. Банкови политики и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УПРАВЛЕНИЕ НА БАНКОВИТЕ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политиките по управление на банковите активи</w:t>
              <w:br/>
              <w:t xml:space="preserve">2. Политики по общо управление на активите</w:t>
              <w:br/>
              <w:t xml:space="preserve">3. Политики за управлението на кредитната дейност</w:t>
              <w:br/>
              <w:t xml:space="preserve">4. Политики по управление на инвестиционния процес в банката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БАНКОВИТЕ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политиките по управление на банковите пасиви</w:t>
              <w:br/>
              <w:t xml:space="preserve">2. Политики по управление на собствения капитал на банката</w:t>
              <w:br/>
              <w:t xml:space="preserve">3. Политики по управление на привлечените средства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БАНКОВАТА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фактори. </w:t>
              <w:br/>
              <w:t xml:space="preserve">2. Концепции за управление на банковата ликвидност. </w:t>
              <w:br/>
              <w:t xml:space="preserve">2. Проблеми при управление на ликвидността. </w:t>
              <w:br/>
              <w:t xml:space="preserve">4. Методи за оценяване потребността от ликвидни средства. </w:t>
              <w:br/>
              <w:t xml:space="preserve">5. Прогнозиране на паричните потоци – алтернативни сценарии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БАНКОВИЯ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и видове банков риск. </w:t>
              <w:br/>
              <w:t xml:space="preserve">2. Управление на кредитния риск – предпоставки за възникване, методи за оценяване и начини за предпазване. </w:t>
              <w:br/>
              <w:t xml:space="preserve">3. Управление на пазарните рискове. </w:t>
              <w:br/>
              <w:t xml:space="preserve">4. Управление на оперативния риск.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БАНКОВ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Ролята на маркетинга в процеса на управление на банковите продукти и услуги</w:t>
              <w:br/>
              <w:t xml:space="preserve">2. Управление на асортимента на предлаганите банкови продукти и услуги</w:t>
              <w:br/>
              <w:t xml:space="preserve">3. Дистрибуция и пласмент на банковите продукти и услуги</w:t>
              <w:br/>
              <w:t xml:space="preserve">4. Реклама на банковите продукти и услуги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ЦЕНООБРАЗУВАНЕ НА БАНКОВИТЕ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Разработване на ценова стратегия. </w:t>
              <w:br/>
              <w:t xml:space="preserve">2. Етапи при определяне цените на банковите продукти и услуги. </w:t>
              <w:br/>
              <w:t xml:space="preserve">3. Традиционни и съвременни методи за кредитно ценообразуване. </w:t>
              <w:br/>
              <w:t xml:space="preserve">4. Ценообразуване на банковите влогове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КЛИЕНТСКАТА БАЗА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управлението на клиентската база</w:t>
              <w:br/>
              <w:t xml:space="preserve">2. Съвременни подходи за управление на взаимоотношенията с клиентите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УПРАВЛЕНИЕ НА БАНКОВИЯ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банковия персонал за дейността на търговската банка</w:t>
              <w:br/>
              <w:t xml:space="preserve">2. Подбор и обучение на банковия персонал</w:t>
              <w:br/>
              <w:t xml:space="preserve">3.Управление на кариерното израстване.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ВЗАИМООТНОШЕНИЯТА С ВЪНШНИ ДОСТАВЧИЦИ НА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външните доставчици на услуги в предоставянето на банковите продукти и услуги</w:t>
              <w:br/>
              <w:t xml:space="preserve">2. Управление на взаимоотношенията с външните доставчици</w:t>
              <w:br/>
              <w:t xml:space="preserve">3. Аутсорсинг на несвойствени банкови дейности към външни доставчици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УПРАВЛЕНИЕ НА БАНКОВАТА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сигурността в банковата дейност</w:t>
              <w:br/>
              <w:t xml:space="preserve">2. Основни направления за управление на банковата сигурност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"Мениджмънт на кредитните институции"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(1996). Банков мениджмънт. Варна, Princeps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П., А. Ангелов, Н. Канарян. (2002). Риск мениджмънт в банката.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Роус, П. (2005). Банковский менеджмент, Москва, Дело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(2002). Практически банков мениджмънт,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(2013). Актуални аспекти на банковата политика.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(2013). Управление на рисковете в търговската банка,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(2009). Банковский менеджмент. Кнорус,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Santomero, A. (1995). Commercial Bank Risk Management: An Analysis of the Process. WFIC 95-11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(1998). Commercial bank financial management. New Jersey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