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корпоративните клиенти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„Корпоративно банкиране“.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Victoria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БАНКИТЕ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
</w:t>
              <w:br/>
              <w:t xml:space="preserve">2. Търговски банки от първа група
</w:t>
              <w:br/>
              <w:t xml:space="preserve">3. Търговски банки от втора група
</w:t>
              <w:br/>
              <w:t xml:space="preserve">4. Клонове на чуждестранни банки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ОПРЕДЕЛЕНОСТ НА ЛИХВЕНИТЕ ПАРАМЕТРИ В БАНКИРАНЕТО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Лихвата в банкирането
</w:t>
              <w:br/>
              <w:t xml:space="preserve">2. Специфика на лихвените параметри
</w:t>
              <w:br/>
              <w:t xml:space="preserve">3. Лихва по привлечени средства в търговската банка
</w:t>
              <w:br/>
              <w:t xml:space="preserve">4. Лихва по кредити, предлагани от търговската банка
</w:t>
              <w:br/>
              <w:t xml:space="preserve">5. Методика за изчисляване на лихвени параметри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СПЕЦИФИЧНИ ФОРМИ НА 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
</w:t>
              <w:br/>
              <w:t xml:space="preserve">2. Факторингови операции
</w:t>
              <w:br/>
              <w:t xml:space="preserve">3. Форфетингови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ИНВЕСТИЦИОННИ УСЛУГИ И ДЕЙНОСТИ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услуги и дейности с финансови инструменти
</w:t>
              <w:br/>
              <w:t xml:space="preserve">2. Операции по поръчка на банкови клиенти
</w:t>
              <w:br/>
              <w:t xml:space="preserve">3. Специфика на договорните отношения между банката и икономическите агенти
</w:t>
              <w:br/>
              <w:t xml:space="preserve">4. Оценяване на клиентски портфейл
</w:t>
              <w:br/>
              <w:t xml:space="preserve">5. Параметри в дейността на банката като инвестиционен посредник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"Корпоративно банкиране"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