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ОБЩА ТЕОРИЯ НА ИКОНОМИКАТА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Микроикономика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ФФ-КОТИ-Б-343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ФФ-КОТИ-Б-343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34</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Микроикономика има за цел да запознае студентите с поведението на отделните икономически субекти (домакинства, фирми, общини, държавни предприятия, банки и др.), свързано с минимизирането на разходите и максимизирането на ползите (доходите) въз основа на избор между различните алтернативи. В него са представени и анализирани принципите и механизмите на функциониране на пазарното стопанство и ролята на основните пазарни сили; поведението на потребителите; производствените решения на фирмите; продуктовите пазари и основните пазарни структури; ресурсните пазари и факторните доходи.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Поради основополагащия характер на дисциплината, за нейното изучаване не се налага студентите предварително да са придобили специализирани знания и умения. Обучението се базира на общообразователната подготовка в средното училище. Придобитите ключови компетентности по български език и математика, както и основни познания по чужд език, са достатъчни условия за стартиране на обучението. Владеенето на специализирани знания по икономика допълнително подпомага усвояването на микроикономическата материя.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множество традиционни и интерактивни методи като: лекции, мултимедийни презентации, тестове за самопроверка на знанията и за текущ контрол, дискусии, творчески задания и др.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различни методи като: он лайн асинхронни лекции, консултации и дискусии; онлайн самопроверка на знанията; он лайн електронен тест за текущ контрол.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обучението по Микроикономика студентите ще формират умения да: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•боравят със специфичния понятиен апарат и да изграждат икономически начин на мислене;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•интерпретират фундаменталните теоретични концепции относно функционирането и развитието на икономиката, в частност на микроединиците;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•разпознават различните икономически системи, да извеждат специфичните особености на пазарното стопанство и да обясняват връзките и взаимодействията между основните микроикономически субекти;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•търсят, обработват и анализират информация за състоянието на микроикономическите единици и да предвиждат бъдещото им развитие;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•разбират спецификата на отделните ресурсни пазари, да могат да определят адекватната възвръщаемост на ресурсите, да познават принципите, осигуряващи тяхното оптимално използване в условията на съвършена и несъвършена конкуренция;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•използват моделите, методите, инструментите и техниките за осъществяване на микроикономически анализ и формиране на оптимални решения на микроравнище.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Микроикономика ще развие у студентите следните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прилагат пазарните принципи в икономическата си дейност;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изпълняват дейности, свързани с оценяване и приоритизиране въздействието на основните детерминанти на функционалната среда (вътрешна и външна) върху микроединиците;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събират и правилно да разчитат информацията, получавана от основните пазарни променливи, и да адаптират дейността на отделните икономически агенти към изискванията на пазара и конкуренцията;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изготвят анализи относно състоянието и тенденциите в развитието на даден микроикономически субект;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предлагат решения за оптимизация на пазарното поведение на микроединиците с оглед постигане на максимални икономически резултати.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Софийски университет „Климент Охридски“,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Университет за национално и световно стопанство,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Икономически университет, гр.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Cambridge,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Oxford,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Princeton University, USA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Harvard University, USA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Тема I. ПРЕДМЕТ И И ОСНОВНИ ПРОБЛЕМИ НА ИКОНОМИЧЕСКАТА ТЕОРИЯ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Предмет на общата теория на икономиката. 2. Място и функции на общата теория на икономиката. 3. Ресурси. Оскъдност и избор. 4. Граница на производствените възможности. 5. Фундаментални въпроси на икономиката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Тема II. ТИПОВЕ ИКОНОМИЧЕСКИ СИСТЕМИ. ПОТРЕБНОСТИ, СТОКИ И ПАРИ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Понятие за икономическа система. 2. Типове икономически системи . 3. Пазарната система – определяща форма на организацията на общественото производство. 4. Потребностите – движеща сила на икономиката. 5. Благо, продукт, стока и пари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Тема III. ПАЗАРНИ СИЛИ И ПАЗАРНО РАВНОВЕСИЕ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Търсене – същност и видове. Фактори на търсенето. 2. Същност и видове предлагане. Фактори на предлагането. 3. Еластичност на търсенето и предлагането. 4. Същност и видове пазарно равновесие. Излишно търсене и излишно предлагане. 5. Нарушаване и възстановяване на пазарното равновесие. 6. Моментно (текущо), краткосрочно и дългосрочно пазарно равновесие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Тема IV. ПОТРЕБИТЕЛСКО ПОВЕДЕНИЕ. КАРДИНАЛЕН И ОРДИНАЛЕН ПОДХОД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Полезност на благата. Видове полезност. Закон за намаляващата пределна полезност. 2. Максимализация на полезността (равновесие на потребителя според кардиналната теория). 3. Потребителски излишък (рента на потребителя). 4. Криви на безразличие и пределна норма на заместване. 5. Бюджетно ограничение на потребителя. 6. Оптимизиране на потребителското поведение (равновесие на потребителя според ординалната теория).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Тема V. КРАТКОСРОЧНО И ДЪЛГОСРОЧНО ОПТИМИЗИРАНЕ НА ПРОИЗВОДСТВОТО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Производство и производствена функция. 2. Краткосрочно приспособяване на производството към пазара. 3. Пределна производителност и равновесие на производителя. 4. Дългосрочно приспособяване на производството към пазара. 5. Равновесие на производителя в дългосрочен период. 6. Икономии и загуби от мащаба на производството. Възвръщаемост от мащаба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Тема VI. ПРОИЗВОДСТВЕНИ РАЗХОДИ И СТОПАНСКИ РЕЗУЛТАТИ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видове разходи. 2. Минимизиране на производствените разходи за кратък и дълъг срок. 3. Приходи и доходи на фирмата. 4. Печалби и загуби на фирмата. Норма на печалбата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Тема VII. ПАЗАРНИ  СТРУКТУРИ, КОНКУРЕНЦИЯ И ЦЕНООБРАЗУВАНЕ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функции на конкуренцията. 2. Видове конкуренция. 3. Пазарни структури със съвършена конкуренция. 4. Пазарни структури с несъвършена конкуренция. 5. Ценообразуване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Тема VIII. ФИРМЕНО ПРЕДЛАГАНЕ ПРИ СЪВЪРШЕНАТА КОНКУРЕНЦИЯ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условия на съвършената конкуренция. Крива на търсене на фирмата (съвършен конкурент). 2. Поведение на фирмата при съвършена конкуренция в кратък период. 3. Поведение на фирмата при съвършена конкуренция в дълъг период. 4. Значение на модела на съвършената конкуренция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${temi#9}</w:t>
            </w:r>
            <w:r>
              <w:rPr>
                <w:rFonts w:ascii="Times New Roman" w:hAnsi="Times New Roman"/>
                <w:b/>
                <w:sz w:val="24"/>
                <w:szCs w:val="24"/>
              </w:rPr>
              <w:t>Тема IX. МОНОПОЛИСТИЧНА КОНКУРЕНЦИЯ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характеристики на монополистичната конкуренция. 2. Равновесие на фирмата при монополистична конкуренция. 3. Сравнение на монополистичната конкуренция със съвършената конкуренция. 4. Неценова конкуренция: разнообразие и реклама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${temi#10}</w:t>
            </w:r>
            <w:r>
              <w:rPr>
                <w:rFonts w:ascii="Times New Roman" w:hAnsi="Times New Roman"/>
                <w:b/>
                <w:sz w:val="24"/>
                <w:szCs w:val="24"/>
              </w:rPr>
              <w:t>Тема X. ОЛИГОПОЛИ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характеристики на олигополния пазар. 2. Съгласуван олигопол. “Дилемата на затворника”. 3. Модел на олигопол с пречупена крива на търсенето. 3. Модел на олигопол с ценово лидерство (доминантна фирма). Ценови войни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${temi#11}</w:t>
            </w:r>
            <w:r>
              <w:rPr>
                <w:rFonts w:ascii="Times New Roman" w:hAnsi="Times New Roman"/>
                <w:b/>
                <w:sz w:val="24"/>
                <w:szCs w:val="24"/>
              </w:rPr>
              <w:t>Тема XI.ФИРМЕНО ПРЕДЛАГАНЕ ПРИ ЧИСТ МОНОПОЛ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видове чист монопол. 2. Цена и пределен приход в условията на чист монопол. 3. Максимизиране на печалбата на чистия монопол. Ценова дискриминация. 4. Контрол върху чистия монопол. Антитръстова политика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${temi#12}</w:t>
            </w:r>
            <w:r>
              <w:rPr>
                <w:rFonts w:ascii="Times New Roman" w:hAnsi="Times New Roman"/>
                <w:b/>
                <w:sz w:val="24"/>
                <w:szCs w:val="24"/>
              </w:rPr>
              <w:t>Тема XII. ПАЗАР НА ТРУДА И РАБОТНА ЗАПЛАТА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трудовия пазар. 2. Търсене на труд при съвършена конкуренция. 3. Предлагане на труд при съвършена конкуренция. Равновесие на трудовия пазар. 4. Пазар на труда при несъвършена конкуренция. 5. Работна заплата – същност, видове и форми. 6. Роля на синдикатите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${temi#13}</w:t>
            </w:r>
            <w:r>
              <w:rPr>
                <w:rFonts w:ascii="Times New Roman" w:hAnsi="Times New Roman"/>
                <w:b/>
                <w:sz w:val="24"/>
                <w:szCs w:val="24"/>
              </w:rPr>
              <w:t>Тема XIII. ПАЗАР НА ПРИРОДНИ РЕСУРСИ. ПОЗЕМЛЕНА РЕНТА И ЦЕНА НА ЗЕМЯТА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Особеностите на земята като производствен фактор. 2. Рентата като факторен доход. 3. Рента и аренда. 4. Видове ренти, в т.ч. диференциална и чиста рента. 5. Особености на търсенето и предлагането на земя. 6. Цена на земята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${temi#14}</w:t>
            </w:r>
            <w:r>
              <w:rPr>
                <w:rFonts w:ascii="Times New Roman" w:hAnsi="Times New Roman"/>
                <w:b/>
                <w:sz w:val="24"/>
                <w:szCs w:val="24"/>
              </w:rPr>
              <w:t>Тема XIV. КАПИТАЛ И ЛИХВА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Капитал – същност и видове. 2. Норма на възвращаемост на капиталовите блага. Амортизация на капитала. 3. Нетна настояща стойност на капиталовите активи. 4. Лихва и лихвен процент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Кирев, Л. и др. Микроикономика. В. Търново,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Спасов, Т. и др. Микроикономика. София, 2011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Младенова, З. и др. Микроикономика. Варна,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Миркович, К., Микроикономикс, Първа и втора част, С., Стопанство, 1992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Самуельсон, П., Нордхаус, В. Экономика. Москва. ООО „И. Д. Вильямс“,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Samuelson, Р., Nordhaus W. Economics. 19 edition, McGraw-Hill.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Mankiw, G. Principles of Microeconomics. 7th Edition, South-Western College Pub. 2014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Pindyck, R., Rubinfeld, D. Microeconomics. 8th Edition. Pearson.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Макконнелл К., Брю С. Экономикс: принципы, проблемы и политика, Москва, 2003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Фишър Ст., Дорнбуш, Р. Шмалензи, Р. Икономика. Основи на микро и макроикономиката, София, 1997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Икономическа енциклопедия. София,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Икономикс. Учебен речник. София, 1995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Икономическа мисъл,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 Икономически и социални алтернативи, УНСС,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Сп. Народностопански архив, СА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Сп. Бизнес управление, СА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Сп. Известия, ИУ Варна</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Курс по Микроикономика, https://dl.uni-svishtov.bg/course/view.php?id=5111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Национален статистически институт, 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Eurostat, 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Институт за икономически изследвания към БАН, http://www.iki.bas.bg/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Институт  за пазарна икономика, http://ime.bg/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Агенция за икономически анализи и прогнози, http://aeaf.bg/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Електронно списание "Диалог", https://www2.uni-svishtov.bg/dialog/?lang=bg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доц. д-р Людмил Несторов)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${authors#2}</w:t>
            </w:r>
            <w:r w:rsidRPr="00C10B36">
              <w:rPr>
                <w:rFonts w:ascii="Times New Roman" w:hAnsi="Times New Roman"/>
                <w:bCs/>
                <w:color w:val="222222"/>
                <w:sz w:val="24"/>
                <w:szCs w:val="24"/>
              </w:rPr>
              <w:t>(</w:t>
            </w:r>
            <w:r>
              <w:rPr>
                <w:rFonts w:ascii="Times New Roman" w:hAnsi="Times New Roman"/>
                <w:bCs/>
                <w:color w:val="222222"/>
                <w:sz w:val="24"/>
                <w:szCs w:val="24"/>
              </w:rPr>
              <w:t>доц. д-р Румен Лазаров)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Пенка Шишманова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