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ОБЩА ТЕОРИЯ НА ИКОНОМИКАТА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14.09.2022</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07.09.2022</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6BC538DA" w14:textId="77777777" w:rsidR="00DD3041" w:rsidRPr="00C10B36" w:rsidRDefault="00DD3041" w:rsidP="00DD3041">
            <w:pPr>
              <w:jc w:val="center"/>
              <w:rPr>
                <w:rFonts w:ascii="Times New Roman" w:hAnsi="Times New Roman"/>
                <w:b/>
                <w:sz w:val="24"/>
                <w:szCs w:val="24"/>
                <w:lang w:val="bg-BG"/>
              </w:rPr>
            </w:pPr>
          </w:p>
          <w:p w14:paraId="082305CD" w14:textId="77777777" w:rsidR="00A34223" w:rsidRPr="00C10B36" w:rsidRDefault="00A34223"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Микроикономика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ФФ-КОТИ-Б-343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0C2D48BC" w14:textId="77777777" w:rsidR="00845130" w:rsidRPr="00C10B36" w:rsidRDefault="00845130" w:rsidP="00DD3041">
            <w:pPr>
              <w:rPr>
                <w:rFonts w:ascii="Times New Roman" w:hAnsi="Times New Roman"/>
                <w:sz w:val="24"/>
                <w:szCs w:val="24"/>
                <w:lang w:val="bg-BG"/>
              </w:rPr>
            </w:pPr>
          </w:p>
          <w:p w14:paraId="404C0DC4" w14:textId="77777777" w:rsidR="00845130" w:rsidRPr="00C10B36" w:rsidRDefault="00845130" w:rsidP="00DD3041">
            <w:pPr>
              <w:rPr>
                <w:rFonts w:ascii="Times New Roman" w:hAnsi="Times New Roman"/>
                <w:sz w:val="24"/>
                <w:szCs w:val="24"/>
                <w:lang w:val="bg-BG"/>
              </w:rPr>
            </w:pPr>
          </w:p>
          <w:p w14:paraId="40B8FE41" w14:textId="77777777" w:rsidR="00845130" w:rsidRPr="00D00320" w:rsidRDefault="00845130" w:rsidP="00DD3041">
            <w:pPr>
              <w:rPr>
                <w:rFonts w:ascii="Times New Roman" w:hAnsi="Times New Roman"/>
                <w:sz w:val="24"/>
                <w:szCs w:val="24"/>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67FD77D3" w14:textId="77777777" w:rsidR="00A34223" w:rsidRPr="00C10B36" w:rsidRDefault="00A34223" w:rsidP="00DD3041">
            <w:pPr>
              <w:rPr>
                <w:rFonts w:ascii="Times New Roman" w:hAnsi="Times New Roman"/>
                <w:sz w:val="24"/>
                <w:szCs w:val="24"/>
                <w:lang w:val="bg-BG"/>
              </w:rPr>
            </w:pPr>
          </w:p>
          <w:p w14:paraId="01EAB6F1" w14:textId="77777777" w:rsidR="00A34223" w:rsidRPr="00C10B36" w:rsidRDefault="00A34223"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ФФ-КОТИ-Б-343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v.01/2022</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/аудиторна и извънаудиторна/</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2. Извънаудиторна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80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80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40</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57</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40</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34</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16B32ED3" w:rsidR="00C32E02" w:rsidRPr="00AB7A25" w:rsidRDefault="00CF40F4" w:rsidP="006A52F9">
      <w:pPr>
        <w:overflowPunct/>
        <w:autoSpaceDE/>
        <w:autoSpaceDN/>
        <w:adjustRightInd/>
        <w:textAlignment w:val="auto"/>
        <w:rPr>
          <w:rFonts w:ascii="Times New Roman" w:hAnsi="Times New Roman"/>
          <w:b/>
          <w:sz w:val="28"/>
          <w:szCs w:val="24"/>
        </w:rPr>
      </w:pPr>
      <w:r>
        <w:rPr>
          <w:rFonts w:ascii="Times New Roman" w:hAnsi="Times New Roman"/>
          <w:b/>
          <w:sz w:val="28"/>
          <w:szCs w:val="24"/>
          <w:lang w:val="bg-BG"/>
        </w:rPr>
        <w:br w:type="page"/>
      </w: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lastRenderedPageBreak/>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по Микроикономика има за цел да запознае студентите с поведението на отделните икономически субекти (домакинства, фирми, общини, държавни предприятия, банки и др.), свързано с минимизирането на разходите и максимизирането на ползите (доходите) въз основа на избор между различните алтернативи. В него са представени и анализирани принципите и механизмите на функциониране на пазарното стопанство и ролята на основните пазарни сили; поведението на потребителите; производствените решения на фирмите; продуктовите пазари и основните пазарни структури; ресурсните пазари и факторните доходи.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Поради основополагащия характер на дисциплината, за нейното изучаване не се налага студентите предварително да са придобили специализирани знания и умения. Обучението се базира на общообразователната подготовка в средното училище. Придобитите ключови компетентности по български език и математика, както и основни познания по чужд език, са достатъчни условия за стартиране на обучението. Владеенето на специализирани знания по икономика допълнително подпомага усвояването на микроикономическата материя.</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преподаване на дисциплината се използват множество традиционни и интерактивни методи като: лекции, мултимедийни презентации, тестове за самопроверка на знанията и за текущ контрол, дискусии, творчески задания и др. </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lastRenderedPageBreak/>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процеса на преподаване на дисциплината се използват различни методи като: он лайн асинхронни лекции, консултации и дискусии; онлайн самопроверка на знанията; он лайн електронен тест за текущ контрол.  </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резултат на обучението по Микроикономика студентите ще формират умения да: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•боравят със специфичния понятиен апарат и да изграждат икономически начин на мислене;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•интерпретират фундаменталните теоретични концепции относно функционирането и развитието на икономиката, в частност на микроединиците;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•разпознават различните икономически системи, да извеждат специфичните особености на пазарното стопанство и да обясняват връзките и взаимодействията между основните микроикономически субекти;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•търсят, обработват и анализират информация за състоянието на микроикономическите единици и да предвиждат бъдещото им развитие;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•разбират спецификата на отделните ресурсни пазари, да могат да определят адекватната възвръщаемост на ресурсите, да познават принципите, осигуряващи тяхното оптимално използване в условията на съвършена и несъвършена конкуренция;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•използват моделите, методите, инструментите и техниките за осъществяване на микроикономически анализ и формиране на оптимални решения на микроравнище.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Обучението по Микроикономика ще развие у студентите следните 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•да прилагат пазарните принципи в икономическата си дейност;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•да изпълняват дейности, свързани с оценяване и приоритизиране въздействието на основните детерминанти на функционалната среда (вътрешна и външна) върху микроединиците;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•да събират и правилно да разчитат информацията, получавана от основните пазарни променливи, и да адаптират дейността на отделните икономически агенти към изискванията на пазара и конкуренцията;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•да изготвят анализи относно състоянието и тенденциите в развитието на даден микроикономически субект;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•да предлагат решения за оптимизация на пазарното поведение на микроединиците с оглед постигане на максимални икономически резултати. </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Софийски университет „Климент Охридски“, гр.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Университет за национално и световно стопанство, гр.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Икономически университет, гр.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Cambridge,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Oxford,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Princeton University, USA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Harvard University, USA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w:t>
            </w:r>
            <w:r>
              <w:rPr>
                <w:rFonts w:ascii="Times New Roman" w:hAnsi="Times New Roman"/>
                <w:b/>
                <w:sz w:val="24"/>
                <w:szCs w:val="24"/>
              </w:rPr>
              <w:t>Тема I. ПРЕДМЕТ И И ОСНОВНИ ПРОБЛЕМИ НА ИКОНОМИЧЕСКАТА ТЕОРИЯ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Предмет на общата теория на икономиката. 2. Място и функции на общата теория на икономиката. 3. Ресурси. Оскъдност и избор. 4. Граница на производствените възможности. 5. Фундаментални въпроси на икономиката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${temi#2}</w:t>
            </w:r>
            <w:r>
              <w:rPr>
                <w:rFonts w:ascii="Times New Roman" w:hAnsi="Times New Roman"/>
                <w:b/>
                <w:sz w:val="24"/>
                <w:szCs w:val="24"/>
              </w:rPr>
              <w:t>Тема II. ТИПОВЕ ИКОНОМИЧЕСКИ СИСТЕМИ. ПОТРЕБНОСТИ, СТОКИ И ПАРИ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Понятие за икономическа система. 2. Типове икономически системи . 3. Пазарната система – определяща форма на организацията на общественото производство. 4. Потребностите – движеща сила на икономиката. 5. Благо, продукт, стока и пари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${temi#3}</w:t>
            </w:r>
            <w:r>
              <w:rPr>
                <w:rFonts w:ascii="Times New Roman" w:hAnsi="Times New Roman"/>
                <w:b/>
                <w:sz w:val="24"/>
                <w:szCs w:val="24"/>
              </w:rPr>
              <w:t>Тема III. ПАЗАРНИ СИЛИ И ПАЗАРНО РАВНОВЕСИЕ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Търсене – същност и видове. Фактори на търсенето. 2. Същност и видове предлагане. Фактори на предлагането. 3. Еластичност на търсенето и предлагането. 4. Същност и видове пазарно равновесие. Излишно търсене и излишно предлагане. 5. Нарушаване и възстановяване на пазарното равновесие. 6. Моментно (текущо), краткосрочно и дългосрочно пазарно равновесие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${temi#4}</w:t>
            </w:r>
            <w:r>
              <w:rPr>
                <w:rFonts w:ascii="Times New Roman" w:hAnsi="Times New Roman"/>
                <w:b/>
                <w:sz w:val="24"/>
                <w:szCs w:val="24"/>
              </w:rPr>
              <w:t>Тема IV. ПОТРЕБИТЕЛСКО ПОВЕДЕНИЕ. КАРДИНАЛЕН И ОРДИНАЛЕН ПОДХОД</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Полезност на благата. Видове полезност. Закон за намаляващата пределна полезност. 2. Максимализация на полезността (равновесие на потребителя според кардиналната теория). 3. Потребителски излишък (рента на потребителя). 4. Криви на безразличие и пределна норма на заместване. 5. Бюджетно ограничение на потребителя. 6. Оптимизиране на потребителското поведение (равновесие на потребителя според ординалната теория).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${temi#5}</w:t>
            </w:r>
            <w:r>
              <w:rPr>
                <w:rFonts w:ascii="Times New Roman" w:hAnsi="Times New Roman"/>
                <w:b/>
                <w:sz w:val="24"/>
                <w:szCs w:val="24"/>
              </w:rPr>
              <w:t>Тема V. КРАТКОСРОЧНО И ДЪЛГОСРОЧНО ОПТИМИЗИРАНЕ НА ПРОИЗВОДСТВОТО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Производство и производствена функция. 2. Краткосрочно приспособяване на производството към пазара. 3. Пределна производителност и равновесие на производителя. 4. Дългосрочно приспособяване на производството към пазара. 5. Равновесие на производителя в дългосрочен период. 6. Икономии и загуби от мащаба на производството. Възвръщаемост от мащаба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${temi#6}</w:t>
            </w:r>
            <w:r>
              <w:rPr>
                <w:rFonts w:ascii="Times New Roman" w:hAnsi="Times New Roman"/>
                <w:b/>
                <w:sz w:val="24"/>
                <w:szCs w:val="24"/>
              </w:rPr>
              <w:t>Тема VI. ПРОИЗВОДСТВЕНИ РАЗХОДИ И СТОПАНСКИ РЕЗУЛТАТИ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видове разходи. 2. Минимизиране на производствените разходи за кратък и дълъг срок. 3. Приходи и доходи на фирмата. 4. Печалби и загуби на фирмата. Норма на печалбата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${temi#7}</w:t>
            </w:r>
            <w:r>
              <w:rPr>
                <w:rFonts w:ascii="Times New Roman" w:hAnsi="Times New Roman"/>
                <w:b/>
                <w:sz w:val="24"/>
                <w:szCs w:val="24"/>
              </w:rPr>
              <w:t>Тема VII. ПАЗАРНИ  СТРУКТУРИ, КОНКУРЕНЦИЯ И ЦЕНООБРАЗУВАНЕ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функции на конкуренцията. 2. Видове конкуренция. 3. Пазарни структури със съвършена конкуренция. 4. Пазарни структури с несъвършена конкуренция. 5. Ценообразуване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${temi#8}</w:t>
            </w:r>
            <w:r>
              <w:rPr>
                <w:rFonts w:ascii="Times New Roman" w:hAnsi="Times New Roman"/>
                <w:b/>
                <w:sz w:val="24"/>
                <w:szCs w:val="24"/>
              </w:rPr>
              <w:t>Тема VIII. ФИРМЕНО ПРЕДЛАГАНЕ ПРИ СЪВЪРШЕНАТА КОНКУРЕНЦИЯ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условия на съвършената конкуренция. Крива на търсене на фирмата (съвършен конкурент). 2. Поведение на фирмата при съвършена конкуренция в кратък период. 3. Поведение на фирмата при съвършена конкуренция в дълъг период. 4. Значение на модела на съвършената конкуренция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${temi#9}</w:t>
            </w:r>
            <w:r>
              <w:rPr>
                <w:rFonts w:ascii="Times New Roman" w:hAnsi="Times New Roman"/>
                <w:b/>
                <w:sz w:val="24"/>
                <w:szCs w:val="24"/>
              </w:rPr>
              <w:t>Тема IX. МОНОПОЛИСТИЧНА КОНКУРЕНЦИЯ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характеристики на монополистичната конкуренция. 2. Равновесие на фирмата при монополистична конкуренция. 3. Сравнение на монополистичната конкуренция със съвършената конкуренция. 4. Неценова конкуренция: разнообразие и реклама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${temi#10}</w:t>
            </w:r>
            <w:r>
              <w:rPr>
                <w:rFonts w:ascii="Times New Roman" w:hAnsi="Times New Roman"/>
                <w:b/>
                <w:sz w:val="24"/>
                <w:szCs w:val="24"/>
              </w:rPr>
              <w:t>Тема X. ОЛИГОПОЛИ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характеристики на олигополния пазар. 2. Съгласуван олигопол. “Дилемата на затворника”. 3. Модел на олигопол с пречупена крива на търсенето. 3. Модел на олигопол с ценово лидерство (доминантна фирма). Ценови войни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${temi#11}</w:t>
            </w:r>
            <w:r>
              <w:rPr>
                <w:rFonts w:ascii="Times New Roman" w:hAnsi="Times New Roman"/>
                <w:b/>
                <w:sz w:val="24"/>
                <w:szCs w:val="24"/>
              </w:rPr>
              <w:t>Тема XI.ФИРМЕНО ПРЕДЛАГАНЕ ПРИ ЧИСТ МОНОПОЛ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видове чист монопол. 2. Цена и пределен приход в условията на чист монопол. 3. Максимизиране на печалбата на чистия монопол. Ценова дискриминация. 4. Контрол върху чистия монопол. Антитръстова политика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${temi#12}</w:t>
            </w:r>
            <w:r>
              <w:rPr>
                <w:rFonts w:ascii="Times New Roman" w:hAnsi="Times New Roman"/>
                <w:b/>
                <w:sz w:val="24"/>
                <w:szCs w:val="24"/>
              </w:rPr>
              <w:t>Тема XII. ПАЗАР НА ТРУДА И РАБОТНА ЗАПЛАТА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характеристика на трудовия пазар. 2. Търсене на труд при съвършена конкуренция. 3. Предлагане на труд при съвършена конкуренция. Равновесие на трудовия пазар. 4. Пазар на труда при несъвършена конкуренция. 5. Работна заплата – същност, видове и форми. 6. Роля на синдикатите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${temi#13}</w:t>
            </w:r>
            <w:r>
              <w:rPr>
                <w:rFonts w:ascii="Times New Roman" w:hAnsi="Times New Roman"/>
                <w:b/>
                <w:sz w:val="24"/>
                <w:szCs w:val="24"/>
              </w:rPr>
              <w:t>Тема XIII. ПАЗАР НА ПРИРОДНИ РЕСУРСИ. ПОЗЕМЛЕНА РЕНТА И ЦЕНА НА ЗЕМЯТА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Особеностите на земята като производствен фактор. 2. Рентата като факторен доход. 3. Рента и аренда. 4. Видове ренти, в т.ч. диференциална и чиста рента. 5. Особености на търсенето и предлагането на земя. 6. Цена на земята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${temi#14}</w:t>
            </w:r>
            <w:r>
              <w:rPr>
                <w:rFonts w:ascii="Times New Roman" w:hAnsi="Times New Roman"/>
                <w:b/>
                <w:sz w:val="24"/>
                <w:szCs w:val="24"/>
              </w:rPr>
              <w:t>Тема XIV. КАПИТАЛ И ЛИХВА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Капитал – същност и видове. 2. Норма на възвращаемост на капиталовите блага. Амортизация на капитала. 3. Нетна настояща стойност на капиталовите активи. 4. Лихва и лихвен процент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hidden/>
        </w:trPr>
        <w:tc>
          <w:tcPr>
            <w:tcW w:w="4820" w:type="dxa"/>
            <w:shd w:val="clear" w:color="auto" w:fill="D9D9D9"/>
          </w:tcPr>
          <w:p w14:paraId="2BD39866" w14:textId="1750D4EF" w:rsidR="00A56E5C" w:rsidRPr="002F782E" w:rsidRDefault="002F782E" w:rsidP="00795473">
            <w:pPr>
              <w:spacing w:line="240" w:lineRule="atLeast"/>
              <w:jc w:val="right"/>
              <w:rPr>
                <w:rFonts w:ascii="Times New Roman" w:hAnsi="Times New Roman"/>
                <w:b/>
                <w:color w:val="232323"/>
                <w:spacing w:val="-17"/>
                <w:sz w:val="28"/>
                <w:szCs w:val="28"/>
              </w:rPr>
            </w:pPr>
            <w:r w:rsidRPr="003D31E5">
              <w:rPr>
                <w:rFonts w:ascii="Times New Roman" w:hAnsi="Times New Roman"/>
                <w:b/>
                <w:vanish/>
                <w:color w:val="232323"/>
                <w:spacing w:val="-17"/>
                <w:sz w:val="28"/>
                <w:szCs w:val="28"/>
              </w:rPr>
              <w:t>${temi_sum#1}</w:t>
            </w: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bookmarkStart w:id="0" w:name="_GoBack"/>
      <w:bookmarkEnd w:id="0"/>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lastRenderedPageBreak/>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Кирев, Л. и др. Микроикономика. В. Търново, 2015.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Спасов, Т. и др. Микроикономика. София, 2011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Младенова, З. и др. Микроикономика. Варна, 2012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Миркович, К., Микроикономикс, Първа и втора част, С., Стопанство, 1992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Самуельсон, П., Нордхаус, В. Экономика. Москва. ООО „И. Д. Вильямс“, 2015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Samuelson, Р., Nordhaus W. Economics. 19 edition, McGraw-Hill. 2010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Mankiw, G. Principles of Microeconomics. 7th Edition, South-Western College Pub. 2014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Pindyck, R., Rubinfeld, D. Microeconomics. 8th Edition. Pearson. 2012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Макконнелл К., Брю С. Экономикс: принципы, проблемы и политика, Москва, 2003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Фишър Ст., Дорнбуш, Р. Шмалензи, Р. Икономика. Основи на микро и макроикономиката, София, 1997</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Икономическа енциклопедия. София, 2005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Икономикс. Учебен речник. София, 1995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Сп. Икономическа мисъл, София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Сп. Икономически и социални алтернативи, УНСС, София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Сп. Народностопански архив, СА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Сп. Бизнес управление, СА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Сп. Известия, ИУ Варна</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Курс по Микроикономика, https://dl.uni-svishtov.bg/course/view.php?id=5111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Национален статистически институт, www.nsi.bg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Eurostat, http://ec.europa.eu/eurostat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Институт за икономически изследвания към БАН, http://www.iki.bas.bg/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Институт  за пазарна икономика, http://ime.bg/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Агенция за икономически анализи и прогнози, http://aeaf.bg/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Електронно списание "Диалог", https://www2.uni-svishtov.bg/dialog/?lang=bg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${authors#1}</w:t>
            </w:r>
            <w:r w:rsidRPr="00C10B36">
              <w:rPr>
                <w:rFonts w:ascii="Times New Roman" w:hAnsi="Times New Roman"/>
                <w:bCs/>
                <w:color w:val="222222"/>
                <w:sz w:val="24"/>
                <w:szCs w:val="24"/>
              </w:rPr>
              <w:t>(</w:t>
            </w:r>
            <w:r>
              <w:rPr>
                <w:rFonts w:ascii="Times New Roman" w:hAnsi="Times New Roman"/>
                <w:bCs/>
                <w:color w:val="222222"/>
                <w:sz w:val="24"/>
                <w:szCs w:val="24"/>
              </w:rPr>
              <w:t>доц. д-р Людмил Несторов)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${authors#2}</w:t>
            </w:r>
            <w:r w:rsidRPr="00C10B36">
              <w:rPr>
                <w:rFonts w:ascii="Times New Roman" w:hAnsi="Times New Roman"/>
                <w:bCs/>
                <w:color w:val="222222"/>
                <w:sz w:val="24"/>
                <w:szCs w:val="24"/>
              </w:rPr>
              <w:t>(</w:t>
            </w:r>
            <w:r>
              <w:rPr>
                <w:rFonts w:ascii="Times New Roman" w:hAnsi="Times New Roman"/>
                <w:bCs/>
                <w:color w:val="222222"/>
                <w:sz w:val="24"/>
                <w:szCs w:val="24"/>
              </w:rPr>
              <w:t>доц. д-р Румен Лазаров)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Пенка Шишманова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F9F29" w14:textId="77777777" w:rsidR="00726579" w:rsidRDefault="00726579">
      <w:r>
        <w:separator/>
      </w:r>
    </w:p>
  </w:endnote>
  <w:endnote w:type="continuationSeparator" w:id="0">
    <w:p w14:paraId="51D07832" w14:textId="77777777" w:rsidR="00726579" w:rsidRDefault="0072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B5245" w14:textId="77777777" w:rsidR="005E448E" w:rsidRPr="00C32E02" w:rsidRDefault="005E448E" w:rsidP="00CA1B74">
    <w:pPr>
      <w:pStyle w:val="Footer"/>
      <w:framePr w:wrap="around" w:vAnchor="text" w:hAnchor="margin" w:xAlign="right" w:y="1"/>
      <w:rPr>
        <w:rStyle w:val="PageNumber"/>
        <w:rFonts w:ascii="Times New Roman" w:hAnsi="Times New Roman"/>
        <w:sz w:val="20"/>
        <w:lang w:val="ru-RU"/>
      </w:rPr>
    </w:pPr>
    <w:r w:rsidRPr="00C32E02">
      <w:rPr>
        <w:rStyle w:val="PageNumber"/>
        <w:rFonts w:ascii="Times New Roman" w:hAnsi="Times New Roman"/>
        <w:sz w:val="20"/>
      </w:rPr>
      <w:fldChar w:fldCharType="begin"/>
    </w:r>
    <w:r w:rsidRPr="00C32E02">
      <w:rPr>
        <w:rStyle w:val="PageNumber"/>
        <w:rFonts w:ascii="Times New Roman" w:hAnsi="Times New Roman"/>
        <w:sz w:val="20"/>
      </w:rPr>
      <w:instrText xml:space="preserve">PAGE  </w:instrText>
    </w:r>
    <w:r w:rsidRPr="00C32E02">
      <w:rPr>
        <w:rStyle w:val="PageNumber"/>
        <w:rFonts w:ascii="Times New Roman" w:hAnsi="Times New Roman"/>
        <w:sz w:val="20"/>
      </w:rPr>
      <w:fldChar w:fldCharType="separate"/>
    </w:r>
    <w:r w:rsidRPr="00C32E02">
      <w:rPr>
        <w:rStyle w:val="PageNumber"/>
        <w:rFonts w:ascii="Times New Roman" w:hAnsi="Times New Roman"/>
        <w:noProof/>
        <w:sz w:val="20"/>
        <w:lang w:val="ru-RU"/>
      </w:rPr>
      <w:t>5</w:t>
    </w:r>
    <w:r w:rsidRPr="00C32E02">
      <w:rPr>
        <w:rStyle w:val="PageNumber"/>
        <w:rFonts w:ascii="Times New Roman" w:hAnsi="Times New Roman"/>
        <w:sz w:val="20"/>
      </w:rPr>
      <w:fldChar w:fldCharType="end"/>
    </w:r>
  </w:p>
  <w:p w14:paraId="176953BF"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3EBE84E1" w14:textId="77777777" w:rsidR="005E448E" w:rsidRPr="00C32E02" w:rsidRDefault="005E448E" w:rsidP="00C32E02">
    <w:pPr>
      <w:pStyle w:val="Footer"/>
      <w:jc w:val="center"/>
      <w:rPr>
        <w:rFonts w:ascii="Times New Roman" w:hAnsi="Times New Roman"/>
        <w:i/>
        <w:sz w:val="12"/>
        <w:szCs w:val="12"/>
        <w:lang w:val="ru-RU"/>
      </w:rPr>
    </w:pPr>
  </w:p>
  <w:p w14:paraId="2DFC71F3"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5BEFFF66" w14:textId="77777777" w:rsidR="005E448E" w:rsidRPr="00C32E02" w:rsidRDefault="005E448E" w:rsidP="00CA1B74">
    <w:pPr>
      <w:pStyle w:val="Footer"/>
      <w:ind w:right="36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CF896" w14:textId="77777777" w:rsidR="00726579" w:rsidRDefault="00726579">
      <w:r>
        <w:separator/>
      </w:r>
    </w:p>
  </w:footnote>
  <w:footnote w:type="continuationSeparator" w:id="0">
    <w:p w14:paraId="4A84B4B6" w14:textId="77777777" w:rsidR="00726579" w:rsidRDefault="0072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A9D7"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62336" behindDoc="0" locked="0" layoutInCell="1" allowOverlap="1" wp14:anchorId="42C2B881" wp14:editId="432CFBFD">
          <wp:simplePos x="0" y="0"/>
          <wp:positionH relativeFrom="margin">
            <wp:align>right</wp:align>
          </wp:positionH>
          <wp:positionV relativeFrom="paragraph">
            <wp:posOffset>-22225</wp:posOffset>
          </wp:positionV>
          <wp:extent cx="2301240" cy="723900"/>
          <wp:effectExtent l="0" t="0" r="3810" b="0"/>
          <wp:wrapNone/>
          <wp:docPr id="1" name="Picture 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3360" behindDoc="0" locked="0" layoutInCell="1" allowOverlap="1" wp14:anchorId="2FCBEB8F" wp14:editId="3D188DD6">
          <wp:simplePos x="0" y="0"/>
          <wp:positionH relativeFrom="column">
            <wp:posOffset>2540</wp:posOffset>
          </wp:positionH>
          <wp:positionV relativeFrom="paragraph">
            <wp:posOffset>-3175</wp:posOffset>
          </wp:positionV>
          <wp:extent cx="2318385" cy="80581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06BC9ECF"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0D252EDD"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66838895"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5F1BB416"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44D8A8C7"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46CFACA4"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7D86B694" w14:textId="750B6766" w:rsidR="005E448E" w:rsidRDefault="00726579" w:rsidP="00C32E02">
    <w:pPr>
      <w:tabs>
        <w:tab w:val="center" w:pos="4536"/>
        <w:tab w:val="right" w:pos="9072"/>
      </w:tabs>
      <w:jc w:val="center"/>
    </w:pPr>
    <w:r>
      <w:rPr>
        <w:rFonts w:ascii="Monotype Corsiva" w:hAnsi="Monotype Corsiva"/>
        <w:b/>
        <w:sz w:val="24"/>
        <w:szCs w:val="24"/>
        <w:lang w:val="bg-BG"/>
      </w:rPr>
      <w:pict w14:anchorId="7F1C6571">
        <v:rect id="_x0000_i1025" style="width:453.5pt;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726579" w:rsidP="00C32E02">
    <w:pPr>
      <w:pStyle w:val="Header"/>
    </w:pPr>
    <w:r>
      <w:rPr>
        <w:rFonts w:ascii="Monotype Corsiva" w:hAnsi="Monotype Corsiva"/>
        <w:b/>
        <w:sz w:val="24"/>
        <w:szCs w:val="24"/>
        <w:lang w:val="bg-BG"/>
      </w:rPr>
      <w:pict w14:anchorId="7C551966">
        <v:rect id="_x0000_i1026"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3321F"/>
    <w:rsid w:val="00041883"/>
    <w:rsid w:val="00046D3F"/>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18C5"/>
    <w:rsid w:val="00831D30"/>
    <w:rsid w:val="00844C87"/>
    <w:rsid w:val="00845130"/>
    <w:rsid w:val="00850D27"/>
    <w:rsid w:val="008564BE"/>
    <w:rsid w:val="00865DDB"/>
    <w:rsid w:val="0087237F"/>
    <w:rsid w:val="00872565"/>
    <w:rsid w:val="008742B5"/>
    <w:rsid w:val="00880DFD"/>
    <w:rsid w:val="00883BC3"/>
    <w:rsid w:val="008A501D"/>
    <w:rsid w:val="008D04AA"/>
    <w:rsid w:val="008D2878"/>
    <w:rsid w:val="008D3DCC"/>
    <w:rsid w:val="008D41D4"/>
    <w:rsid w:val="008E0990"/>
    <w:rsid w:val="008E0FEA"/>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C6C1E"/>
    <w:rsid w:val="00AD18D2"/>
    <w:rsid w:val="00AE7381"/>
    <w:rsid w:val="00AE7443"/>
    <w:rsid w:val="00AF457B"/>
    <w:rsid w:val="00AF6AE2"/>
    <w:rsid w:val="00B13F26"/>
    <w:rsid w:val="00B1776E"/>
    <w:rsid w:val="00B17BC0"/>
    <w:rsid w:val="00B25C9C"/>
    <w:rsid w:val="00B30503"/>
    <w:rsid w:val="00B30F00"/>
    <w:rsid w:val="00B3285A"/>
    <w:rsid w:val="00B45F2A"/>
    <w:rsid w:val="00B56852"/>
    <w:rsid w:val="00B62DE5"/>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C22A5"/>
    <w:rsid w:val="00DC2803"/>
    <w:rsid w:val="00DC6B74"/>
    <w:rsid w:val="00DD2465"/>
    <w:rsid w:val="00DD3041"/>
    <w:rsid w:val="00DD3B16"/>
    <w:rsid w:val="00DD4074"/>
    <w:rsid w:val="00DD55D6"/>
    <w:rsid w:val="00DD7FC8"/>
    <w:rsid w:val="00DE6F40"/>
    <w:rsid w:val="00E25809"/>
    <w:rsid w:val="00E26DC1"/>
    <w:rsid w:val="00E31CB3"/>
    <w:rsid w:val="00E3292D"/>
    <w:rsid w:val="00E36754"/>
    <w:rsid w:val="00E44433"/>
    <w:rsid w:val="00E44EE8"/>
    <w:rsid w:val="00E51552"/>
    <w:rsid w:val="00E52EDC"/>
    <w:rsid w:val="00E55045"/>
    <w:rsid w:val="00E55385"/>
    <w:rsid w:val="00E671AD"/>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3D9E"/>
    <w:rsid w:val="00F70126"/>
    <w:rsid w:val="00F72C6F"/>
    <w:rsid w:val="00F76B7C"/>
    <w:rsid w:val="00F83B86"/>
    <w:rsid w:val="00F8768F"/>
    <w:rsid w:val="00FA03AB"/>
    <w:rsid w:val="00FB0784"/>
    <w:rsid w:val="00FB4A23"/>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4406</TotalTime>
  <Pages>5</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Admin</cp:lastModifiedBy>
  <cp:revision>85</cp:revision>
  <cp:lastPrinted>2008-05-31T10:14:00Z</cp:lastPrinted>
  <dcterms:created xsi:type="dcterms:W3CDTF">2022-10-17T08:46:00Z</dcterms:created>
  <dcterms:modified xsi:type="dcterms:W3CDTF">2022-11-18T11:35:00Z</dcterms:modified>
</cp:coreProperties>
</file>