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тест/казус.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има за цел комплексно представяне на всички придобити знания и умения по време на обучението в магистърска степен. Наред с придобитите знания дипломантите придобиват умения да проучват да обобщават и анализират факти, процеси, на база извършени изчисления да интерпретират резултати и очертават тенденции,  да дефинират проблеми и търсят пътища за тяхното ефективно решаване в областта застрахователната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се основава на придобитите от студентите знания чрез изучаваните дисциплини в ОКС “Магистър”. Тези знания са свързани с процесите на цялостното управление на дейността на застрахователното дружество, а именно: управление на риска; изпълнение изискванията на надзорните органи; ефективността и рентабилността на застрахователя; неговата платежоспособност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 конкретизира придобитите знания в областта на  застраховането. Придобитите знания дават на обучавания редица възможности, свързани с  използването на първоначална база от данни, тяхната интерпретация и анализ през призмата на множество показатели, в контекста на цялостното управление на дейността на застрахователното дружество.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Чехия); Финансов университет при правителството на Руската Федерация (Москва, Русия); Poznan University of Economics and Business  (Познан, Полша).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РЕНТАБИЛНОСТ НА ДЕЙНОСТТА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въпроси свързани с рентабилността на упражняваната от застрахователното дружество дейност. Използват се данни, посочени в Баланса и Отчета от дейността на застрахователното дружество.  Акцент в темата са група коефициенти, посредством които става възможна оценката , свързана с рентабилността на упражняваната от застрахователите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ЕФЕКТИВНОСТ НА ДЕЙНОСТТА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въпроси свързани с ефективността на упражняваната от застрахователното дружество дейност. Използват се данни, посочени в Баланса и Отчета от дейността на застрахователното дружество.  Акцент в темата са група коефициенти, посредством които става възможна оценката , свързана с ефективността, свързана с упражняваната от застрахователите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ИКОНОМИЧЕСКИ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 разглежда икономическият  капитал като минималният капиталов буфер, необходим да се покрият всички неочаквани загуби под формата на изплащани обезщетения, причинени от различни рискове, на които застрахователят е изложен за определен период и определен доверителен интервал. Използват се данни, посочени в Баланса и Отчета от дейността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МОНИТОРИНГ И ИНТЕРВЕНЦИЯ ВЪРХУ ДЕЙНОСТТА НА ЗАСТРАХОВАТЕЛЯ.  ПОКАЗАТЕЛИ, ОДОБРЕНИ ОТ НАДЗОРНИТЕ ВЛАСТИ.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първият етап от методиката за изграждане на „Стълба за наблюдение и интервенция от страна на надзора”, който изисква изчисляването на отношения одобрени от надзорните власти. Базата, от която са заимствани тези отношения е методиката за ранно-предупреждение IRIS, прилгана от надзорните власти в САЩ.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МОНИТОРИНГ И ИНТЕРВЕНЦИЯ ВЪРХУ ДЕЙНОСТТА НА ЗАСТРАХОВАТЕЛЯ. ИЗЧИСЛЯВАНЕ НА РИСКА ОТ ОТКЛОНЕНИЕ СПРЯМО ЗАДАДЕН КРИТЕРИЙ.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обхваща вторият етап от методиката за изграждане на „Стълба за наблюдение и интервенция от страна на надзора” и касае определяне на  риска за отклонение от зададен критерий.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МОНИТОРИНГ И ИНТЕРВЕНЦИЯ ВЪРХУ ДЕЙНОСТТА НА ЗАСТРАХОВАТЕЛЯ. КОЕФИЦИЕНТ ЗА ОСРЕДЕННЕ РИСК ПРИ ГРУПА ОТНОШЕНИЯ.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6. МОНИТОРИНГ И ИНТЕРВЕНЦИЯ ВЪРХУ ДЕЙНОСТТА НА ЗАСТРАХОВАТЕЛЯ. КОЕФИЦИЕНТ ЗА ОСРЕДЕННЕ РИСК ПРИ ГРУПА ОТНОШЕНИЯ.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СТЪЛБА ЗА НАБЛЮДЕНИЕ И ИНТЕРВЕНЦИЯ.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свързана с четвъртия етап от методиката  и анализ на получените резултати спрямо „Стълба за наблюдение и интервенция“ прилагана от надзорните власти.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Учебен курс "Магистърски практикум"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Застрахователен мениджмънт. АИ"Ценов".Свищов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Управление на риска в застрахователното дружество. АИ"Ценов".Свищов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ПАНЕВА, А. Рисково-базиран надзор в застраховането. АИ"Ценов".Свищов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МИТКОВ, М. НИНОВА, В. Въведение в застраховането, В. Търново,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Въведение в презастраховането. В. Търново: Фабер,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ПАНЕВА, А. Организация на застраховането (учебно помагало). В. Търново: Фабер,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Б. ИЛИЕВ, Р. ЕРУСАЛИМОВ, В. ВАСИЛЕВ, Анализ на дейността на застрахователното дружество, София,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Обн.,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Интернет-сайт на Комисията за финансов надзор (www.fsc.bg)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