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Преддипломна практика (ЗСД)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ФФ-КЗСД-Б-891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ФФ-КЗСД-Б-891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40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7317582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Подготовка на Доклади/Дневници/Реферати</w:t>
            </w:r>
          </w:p>
        </w:tc>
        <w:tc>
          <w:tcPr>
            <w:tcW w:w="4955" w:type="dxa"/>
            <w:vAlign w:val="center"/>
          </w:tcPr>
          <w:p w14:paraId="5616908A" w14:textId="324FFF23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14:paraId="402CE3FA" w14:textId="77777777" w:rsidR="002E5D93" w:rsidRPr="00C10B36" w:rsidRDefault="002E5D9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Style w:val="TableGrid"/>
        <w:tblW w:w="10483" w:type="dxa"/>
        <w:tblInd w:w="279" w:type="dxa"/>
        <w:tblCellMar>
          <w:top w:w="57" w:type="dxa"/>
          <w:left w:w="142" w:type="dxa"/>
          <w:bottom w:w="57" w:type="dxa"/>
        </w:tblCellMar>
        <w:tblLook w:val="04A0" w:firstRow="1" w:lastRow="0" w:firstColumn="1" w:lastColumn="0" w:noHBand="0" w:noVBand="1"/>
      </w:tblPr>
      <w:tblGrid>
        <w:gridCol w:w="5102"/>
        <w:gridCol w:w="5381"/>
      </w:tblGrid>
      <w:tr w:rsidR="00C861C6" w14:paraId="27DD98B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696FDBCA" w14:textId="1106BD0F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034FCFA5" w14:textId="4B013BF4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Тежест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критерия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(%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комплексната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861C6" w14:paraId="2EC4292E" w14:textId="77777777" w:rsidTr="005D1AD9">
        <w:tc>
          <w:tcPr>
            <w:tcW w:w="5102" w:type="dxa"/>
            <w:vAlign w:val="center"/>
          </w:tcPr>
          <w:p w14:paraId="7B37E7DD" w14:textId="0BFA9B89" w:rsidR="00C861C6" w:rsidRPr="00C861C6" w:rsidRDefault="00C861C6" w:rsidP="005D1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 </w:t>
            </w:r>
            <w:r w:rsidRPr="00C861C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Изпълнение на ангажиментите по време на практиката, в т.ч.:</w:t>
            </w:r>
          </w:p>
        </w:tc>
        <w:tc>
          <w:tcPr>
            <w:tcW w:w="5381" w:type="dxa"/>
            <w:vAlign w:val="center"/>
          </w:tcPr>
          <w:p w14:paraId="2AC6FC27" w14:textId="56365658" w:rsidR="00C861C6" w:rsidRPr="009D29A3" w:rsidRDefault="009D29A3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</w:tr>
      <w:tr w:rsidR="00C861C6" w14:paraId="2F3AE946" w14:textId="77777777" w:rsidTr="005D1AD9">
        <w:tc>
          <w:tcPr>
            <w:tcW w:w="5102" w:type="dxa"/>
            <w:vAlign w:val="center"/>
          </w:tcPr>
          <w:p w14:paraId="366C885A" w14:textId="7E2AE55A" w:rsidR="00C861C6" w:rsidRPr="00A20CAC" w:rsidRDefault="009D29A3" w:rsidP="005D1AD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${krit_text_1}</w:t>
            </w:r>
          </w:p>
        </w:tc>
        <w:tc>
          <w:tcPr>
            <w:tcW w:w="5381" w:type="dxa"/>
            <w:vAlign w:val="center"/>
          </w:tcPr>
          <w:p w14:paraId="7CB7B8D6" w14:textId="7493A3AF" w:rsidR="00C861C6" w:rsidRPr="00A20CAC" w:rsidRDefault="009D29A3" w:rsidP="005D1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${krit_val_1}</w:t>
            </w:r>
          </w:p>
        </w:tc>
      </w:tr>
      <w:tr w:rsidR="009D29A3" w14:paraId="326CDF49" w14:textId="77777777" w:rsidTr="005D1AD9">
        <w:tc>
          <w:tcPr>
            <w:tcW w:w="5102" w:type="dxa"/>
            <w:vAlign w:val="center"/>
          </w:tcPr>
          <w:p w14:paraId="0213DBE7" w14:textId="03173156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${krit_text_2}</w:t>
            </w:r>
          </w:p>
        </w:tc>
        <w:tc>
          <w:tcPr>
            <w:tcW w:w="5381" w:type="dxa"/>
            <w:vAlign w:val="center"/>
          </w:tcPr>
          <w:p w14:paraId="4EE7EC9B" w14:textId="6026C37F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${krit_val_2}</w:t>
            </w:r>
          </w:p>
        </w:tc>
      </w:tr>
      <w:tr w:rsidR="009D29A3" w14:paraId="04E541BD" w14:textId="77777777" w:rsidTr="005D1AD9">
        <w:tc>
          <w:tcPr>
            <w:tcW w:w="5102" w:type="dxa"/>
            <w:vAlign w:val="center"/>
          </w:tcPr>
          <w:p w14:paraId="15BED05C" w14:textId="5821AA3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${krit_text_3}</w:t>
            </w:r>
          </w:p>
        </w:tc>
        <w:tc>
          <w:tcPr>
            <w:tcW w:w="5381" w:type="dxa"/>
            <w:vAlign w:val="center"/>
          </w:tcPr>
          <w:p w14:paraId="544C0EEB" w14:textId="4BB8534D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${krit_val_3}</w:t>
            </w:r>
          </w:p>
        </w:tc>
      </w:tr>
      <w:tr w:rsidR="009D29A3" w14:paraId="5E52176F" w14:textId="77777777" w:rsidTr="005D1AD9">
        <w:tc>
          <w:tcPr>
            <w:tcW w:w="5102" w:type="dxa"/>
            <w:vAlign w:val="center"/>
          </w:tcPr>
          <w:p w14:paraId="6A17A681" w14:textId="1A2A009A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${krit_text_4}</w:t>
            </w:r>
          </w:p>
        </w:tc>
        <w:tc>
          <w:tcPr>
            <w:tcW w:w="5381" w:type="dxa"/>
            <w:vAlign w:val="center"/>
          </w:tcPr>
          <w:p w14:paraId="285BA192" w14:textId="07E81D2B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${krit_val_4}</w:t>
            </w:r>
          </w:p>
        </w:tc>
      </w:tr>
      <w:tr w:rsidR="009D29A3" w14:paraId="6FCF7332" w14:textId="77777777" w:rsidTr="005D1AD9">
        <w:tc>
          <w:tcPr>
            <w:tcW w:w="5102" w:type="dxa"/>
            <w:vAlign w:val="center"/>
          </w:tcPr>
          <w:p w14:paraId="0E59DC69" w14:textId="5846565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${krit_text_5}</w:t>
            </w:r>
          </w:p>
        </w:tc>
        <w:tc>
          <w:tcPr>
            <w:tcW w:w="5381" w:type="dxa"/>
            <w:vAlign w:val="center"/>
          </w:tcPr>
          <w:p w14:paraId="28696EE1" w14:textId="7FBD34A5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${krit_val_5}</w:t>
            </w:r>
          </w:p>
        </w:tc>
      </w:tr>
      <w:tr w:rsidR="009D29A3" w14:paraId="55130A1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04832D9E" w14:textId="48E076AF" w:rsidR="009D29A3" w:rsidRDefault="009D29A3" w:rsidP="009D29A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3779C1F8" w14:textId="158957FE" w:rsidR="009D29A3" w:rsidRPr="009D29A3" w:rsidRDefault="009D29A3" w:rsidP="009D29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</w:tr>
    </w:tbl>
    <w:p w14:paraId="00F66FE9" w14:textId="23D86D6B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05BBA72E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практиката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Преддипломната практика е завършващият етап от обучението на студентите и се провежда в реални икономически субекти в сферата на застраховането и социалнозащитните дейности. Целта на преддипломната практика е верифициране на формираните знания и умения в реалната среда на функциониращите застрахователни, трудови и осигурителни отношения. Това ще покаже на дипломантите нивото им на подготовка за реализация на трудовия пазар.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Своеобразен „вход“ на провежданата преддипломна практика са знанията за икономическата същност, организацията и нормативната регламентация на застрахователните и социалнозащитните дейности, формирани при изучаване на специалните дисциплини с теоретико-методологически и организационно-икономически характер, заложени в учебния план на специалност „Застраховане и социално дело”.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3928D405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proofErr w:type="spellStart"/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преддипломната</w:t>
      </w:r>
      <w:proofErr w:type="spellEnd"/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Преддипломната практика се провежда в приемаща организация, избрана от студента – фирми, осъществяващи дейност в сферата на производството и услугите, звена от специализираните публични институции, администриращи провежданите застрахователни и социалнозащитни дейности, пенсионноосигурителни дружества, здравни структури, банки, застрахователни дружества, брокерски къщи, отдели по управление на риска.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Преддипломната практика е с продължителност 45 календарни дни и се провежда непосредствено преди полагане на държавен изпит по специалността през период, посочен в графика на учебния процес за съответната учебна година.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Катедреният съвет на катедра „Застраховане и социално дело“ консултира студентите при избора на приемаща организация и при възможност оказва пълно съдействие за провеждане на преддипломната практика в звена от специализираните публични институции, администриращи провежданите застрахователни и социалнозащитни дейности. 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Провеждането на преддипломната практика се удостоверява със: служебна бележка и писмена преценка за извършената работа (по образец), издадени от приемащата организация и удостоверяващи проведената практика; дневник за извършената работа; доклад за проведената преддипломна практика.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Времето на практическо обучение представлява период на адаптиране на младите икономисти към реалните условия, в които ще се осъществява тяхната бъдеща професионална реализация. Студентите ще получат представа по какъв начин се организира дейността в реалните икономически единици, какви са изискванията за заемане на определена длъжност, какви знания, умения и компетенции трябва да притежават работещите в сферата на застраховането и социалната защита.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Знанията, уменията и компетенциите, придобити по време на преддипломната практика, са необходими за окончателното оформяне на младите специалисти и ще им послужат при реализацията на трудовия пазар.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ПРОУЧВАНЕ ПО ВРЕМЕ НА ПРАКТИКАТА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Раздел I. Провеждане на преддипломна практика в областта на застраховането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 . Представяне на застрахователното дружество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разглежда следните основни въпроси:
</w:t>
              <w:br/>
              <w:t xml:space="preserve">1. История на застрахователното дружество.
</w:t>
              <w:br/>
              <w:t xml:space="preserve">2. Сфера на дейност на застрахователното дружество.
</w:t>
              <w:br/>
              <w:t xml:space="preserve">3. Финансово състояние на застрахователното дружество – собствен капитал, премийни приходи, застрахователни плащания, технически резерви, финансови резултати.
</w:t>
              <w:br/>
              <w:t xml:space="preserve">4. Органи на застрахователното дружество. Правомощия.
</w:t>
              <w:br/>
              <w:t xml:space="preserve">5. Централно управление и клонова мрежа на застрахователното дружество.
</w:t>
              <w:br/>
              <w:t xml:space="preserve">6. Управленска структура на застрахователното дружество.
</w:t>
              <w:br/>
              <w:t xml:space="preserve">7. Призове, награди, отличия на застрахователното дружество.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II. Позициониране на застрахователното дружество на застрахователния пазар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разглежда следните основни въпроси:
</w:t>
              <w:br/>
              <w:t xml:space="preserve">1. Пазарен дял на  застрахователното дружество в раздела застраховане, в който осъществява дейността си.
</w:t>
              <w:br/>
              <w:t xml:space="preserve">2. Пазарен дял на  застрахователното дружество по видове предлагани застраховки.
</w:t>
              <w:br/>
              <w:t xml:space="preserve">3. Основни конкуренти на застрахователното дружество.
</w:t>
              <w:br/>
              <w:t xml:space="preserve">4. Конкурентни предимства на застрахователното дружество.
</w:t>
              <w:br/>
              <w:t xml:space="preserve">5. Области в дейността на застрахователното дружество с потенциал за развитие.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Видове застраховки, предлагани от застрахователното дружество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 разглежда следните основни въпроси:
</w:t>
              <w:br/>
              <w:t xml:space="preserve">1. Представяне на продуктовото портфолио на застрахователя.
</w:t>
              <w:br/>
              <w:t xml:space="preserve">2. Структура на премийните приходи на застрахователя по видове застраховки.
</w:t>
              <w:br/>
              <w:t xml:space="preserve">3. Целева клиентска група на застрахователното дружество.
</w:t>
              <w:br/>
              <w:t xml:space="preserve">4. Тенденции в продуктовото предлагане – трудности и перспективи.
</w:t>
              <w:br/>
              <w:t xml:space="preserve">5. Случай на застрахователни измами по различните видове застраховки.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IV. Технология на сключване и поддържане на застрахователни договори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разглежда следните основни въпроси:
</w:t>
              <w:br/>
              <w:t xml:space="preserve">1. Вътрешни правила на застрахователното дружество за сключване и поддържане на застрахователни договори.
</w:t>
              <w:br/>
              <w:t xml:space="preserve">2. Технология на сключване на застрахователните договори.
</w:t>
              <w:br/>
              <w:t xml:space="preserve">3. Документите, необходими за сключване и поддържане на застраховки.
</w:t>
              <w:br/>
              <w:t xml:space="preserve">4. Установени практики за поддържане на контакти с клиентите на различните етапи от застрахователните правоотношения.
</w:t>
              <w:br/>
              <w:t xml:space="preserve">5. Електронни продажби на застраховки.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Уреждане на застрахователни претенции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разглежда следните основни въпроси:
</w:t>
              <w:br/>
              <w:t xml:space="preserve">1. Вътрешни правила на застрахователното дружество за  уреждане на загубите.
</w:t>
              <w:br/>
              <w:t xml:space="preserve">2. Етапи на процеса по уреждане на загубите.
</w:t>
              <w:br/>
              <w:t xml:space="preserve">3. Задължения на лицата, ангажирани с процеса по уреждане на загубите.
</w:t>
              <w:br/>
              <w:t xml:space="preserve">4. Процедура по уреждане на загубите.
</w:t>
              <w:br/>
              <w:t xml:space="preserve">5. Документи, необходими за предявяване на претенции и за установяване на настъпило застрахователно събитие.
</w:t>
              <w:br/>
              <w:t xml:space="preserve">6. Ред и начин за извършване на застрахователното плащане.
</w:t>
              <w:br/>
              <w:t xml:space="preserve">7. Уреждане на спорове с клиентите.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VI. Дистрибуционна политика на застрахователното дружество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разглежда следните основни въпроси:
</w:t>
              <w:br/>
              <w:t xml:space="preserve">1. Видове канали за пласмент на застраховките.
</w:t>
              <w:br/>
              <w:t xml:space="preserve">2. Принос на отделните пласментни канали за формиране на премийните приходи на застрахователя.
</w:t>
              <w:br/>
              <w:t xml:space="preserve">3. Системи за възнаграждение на дейността на застрахователните посредници.
</w:t>
              <w:br/>
              <w:t xml:space="preserve">4. Допълнителни материални и морални стимули и критериите за тяхното получаване.
</w:t>
              <w:br/>
              <w:t xml:space="preserve">5. Основания за намаляване на посредническите възнаграждения.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VII. Организационни аспекти на дейността на застрахователните агенти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разглежда следните основни въпроси:
</w:t>
              <w:br/>
              <w:t xml:space="preserve">1. Видове агенти, използвани от застрахователното дружество. 
</w:t>
              <w:br/>
              <w:t xml:space="preserve">2. Структура на агентската мрежа.
</w:t>
              <w:br/>
              <w:t xml:space="preserve">3. Дял на премийните приходи, реализирани чрез застрахователни агенти, в общите премийни приходи на застрахователното дружество.
</w:t>
              <w:br/>
              <w:t xml:space="preserve">4. Обучение на застрахователните агенти.
</w:t>
              <w:br/>
              <w:t xml:space="preserve">5. Организация на дейността на застрахователните агенти.
</w:t>
              <w:br/>
              <w:t xml:space="preserve">6. Контрол върху дейността на застрахователните агенти.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VIII. Организационни аспекти на дейността на застрахователните брокери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разглежда следните основни въпроси:
</w:t>
              <w:br/>
              <w:t xml:space="preserve">1. Представяне на застрахователния брокер.
</w:t>
              <w:br/>
              <w:t xml:space="preserve">2. Позициониране на застрахователния брокер на застрахователния пазар.
</w:t>
              <w:br/>
              <w:t xml:space="preserve">3. Управление на взаимоотношенията със застрахователите.
</w:t>
              <w:br/>
              <w:t xml:space="preserve">4. Управление на взаимоотношенията със застрахованите.
</w:t>
              <w:br/>
              <w:t xml:space="preserve">5. Управление на взаимоотношенията с КФН.
</w:t>
              <w:br/>
              <w:t xml:space="preserve">6.Организация на дейността на застрахователния брокер.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IX. Дейност на Комисията за финансов надзор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 разглежда следните основни въпроси:
</w:t>
              <w:br/>
              <w:t xml:space="preserve">1. Създаване и цели на КФН.
</w:t>
              <w:br/>
              <w:t xml:space="preserve">2. Нормативна регламентация на дейността на КФН.
</w:t>
              <w:br/>
              <w:t xml:space="preserve">3. Организационна структура на КФН.
</w:t>
              <w:br/>
              <w:t xml:space="preserve">4. Поднадзорни лица на КФН.
</w:t>
              <w:br/>
              <w:t xml:space="preserve">5. Дейности  на КФН.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X. Политика по застраховане на имущество, отговорности и персонал на институции и фирми, работещи извън сферата на застраховането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разглежда следните основни въпроси:
</w:t>
              <w:br/>
              <w:t xml:space="preserve">1. Сфера на дейност на приемащата организация.
</w:t>
              <w:br/>
              <w:t xml:space="preserve">2. Видове застраховки, сключвани от приемащата организация.
</w:t>
              <w:br/>
              <w:t xml:space="preserve">3. Взаимоотношения на приемащата организация със застрахователните дружества.
</w:t>
              <w:br/>
              <w:t xml:space="preserve">4. Организация на сключване на застраховките.
</w:t>
              <w:br/>
              <w:t xml:space="preserve">5. Критерии за избор на застраховател и застрахователно покритие.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Раздел II. Провеждане на преддипломна практика в областта на социалнозащитните дейности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I. Организация на административното обслужване на социалнозащитните дейности в системата на НАП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разглежда следните основни въпроси:
</w:t>
              <w:br/>
              <w:t xml:space="preserve">1. Организационна структура и функционална характеристика на НАП. Институционален профил на приемащото структурно звено.
</w:t>
              <w:br/>
              <w:t xml:space="preserve">2. НАП като субект на осигурителния процес и социалнозащитните дейности.
</w:t>
              <w:br/>
              <w:t xml:space="preserve">3. Нормативна регламентация и специфични особености на организацията на труда и осигурителните отношения в системата на НАП.
</w:t>
              <w:br/>
              <w:t xml:space="preserve">4. Организация на административното обслужване на участието в задължителното социално осигуряване.
</w:t>
              <w:br/>
              <w:t xml:space="preserve">5. Организация на административното обслужване на участието в задължителното здравно осигуряване.
</w:t>
              <w:br/>
              <w:t xml:space="preserve">6. Организация на контролно-аналитичната работа.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II. Организация на административното обслужване на социалнозащитните дейности в системата на НОИ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разглежда следните основни въпроси:
</w:t>
              <w:br/>
              <w:t xml:space="preserve">1. Организационна структура и функционална характеристика на НОИ. Институционален профил на приемащото структурно звено.
</w:t>
              <w:br/>
              <w:t xml:space="preserve">2. НОИ като субект на осигурителния процес и социалнозащитните дейности.
</w:t>
              <w:br/>
              <w:t xml:space="preserve">3. Нормативна регламентация и специфични особености на организацията на труда и осигурителните отношения в системата на НОИ.
</w:t>
              <w:br/>
              <w:t xml:space="preserve">4. Организация на административното обслужване при отпускане и изплащане на паричните обезщетения при временна неработоспособност поради болест и майчинство.
</w:t>
              <w:br/>
              <w:t xml:space="preserve">5. Организация на административното обслужване при отпускане и изплащане на паричните обезщетения при безработица.
</w:t>
              <w:br/>
              <w:t xml:space="preserve">6. Организация на административното обслужване при отпускане и изплащане на паричните помощи от ДОО.
</w:t>
              <w:br/>
              <w:t xml:space="preserve">7. Съдържателни характеристики на пенсионното производство.
</w:t>
              <w:br/>
              <w:t xml:space="preserve">8. Организация на административното обслужване при отпускане и изплащане на пенсиите за трудова дейност.
</w:t>
              <w:br/>
              <w:t xml:space="preserve">9. Организация на административното обслужване при отпускане и изплащане на пенсиите, несвързани с трудовата дейност.
</w:t>
              <w:br/>
              <w:t xml:space="preserve">10. Организация на контролно-аналитичната работа.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Организация на административното обслужване на социалнозащитните дейности в системата на АЗ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разглежда следните основни въпроси:
</w:t>
              <w:br/>
              <w:t xml:space="preserve">1. Организационна структура и функционална характеристика на АЗ. Институционален профил на приемащото структурно звено.
</w:t>
              <w:br/>
              <w:t xml:space="preserve">2. АЗ като субект на социалнозащитните дейности.
</w:t>
              <w:br/>
              <w:t xml:space="preserve">3. Нормативна регламентация и специфични особености на организацията на труда и осигурителните отношения в системата на АЗ.
</w:t>
              <w:br/>
              <w:t xml:space="preserve">4. Организация на административното обслужване при регистрация на търсещи работа лица.
</w:t>
              <w:br/>
              <w:t xml:space="preserve">5. Организация на административното обслужване при приемане на заявки и извършване на подбор на подходащи кандидати за обявените от работодателите свободни работни места. 
</w:t>
              <w:br/>
              <w:t xml:space="preserve">6. Организация на административното обслужване при предоставяне на информация и насочване на търсещи работа лица към свободни работни места.
</w:t>
              <w:br/>
              <w:t xml:space="preserve">7. Организация на административното обслужване при професионално ориентиране, консултиране и информиране и включване в обучение.
</w:t>
              <w:br/>
              <w:t xml:space="preserve">8. Организация на административното обслужване при включване на безработни лица в програми и мерки по заетост.
</w:t>
              <w:br/>
              <w:t xml:space="preserve">9. Организация на административното обслужване при финансово подпомагане платената заетост и стартирането на самостоятелна стопанска дейност на безработните лица.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IV. Организация на административното обслужване на социалнозащитните дейности в системата на АСП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разглежда следните основни въпроси:
</w:t>
              <w:br/>
              <w:t xml:space="preserve">1. Организационна структура и функционална характеристика на АСП. Институционален профил на приемащото структурно звено.
</w:t>
              <w:br/>
              <w:t xml:space="preserve">2. АСП като субект на социалнозащитните дейности.
</w:t>
              <w:br/>
              <w:t xml:space="preserve">3. Нормативна регламентация и специфични особености на организацията на труда и осигурителните отношения в системата на АСП.
</w:t>
              <w:br/>
              <w:t xml:space="preserve">4. Организация на административното обслужване при отпускане и изплащане на парични помощи.
</w:t>
              <w:br/>
              <w:t xml:space="preserve">5. Организация на административното обслужване при предоставяне на социални услуги.
</w:t>
              <w:br/>
              <w:t xml:space="preserve">6. Организация на административното обслужване при осъществяване на дейностите по закрила на детето.
</w:t>
              <w:br/>
              <w:t xml:space="preserve">7. Организация на контролно-аналитичната работа.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Организация на административното обслужване на социалнозащитните дейности в системата на НЗОК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разглежда следните основни въпроси:
</w:t>
              <w:br/>
              <w:t xml:space="preserve">1. Организационна структура и функционална характеристика на НЗОК.  Институционален профил на приемащото структурно звено.
</w:t>
              <w:br/>
              <w:t xml:space="preserve">2. НЗОК като субект на осигурителния процес и социалнозащитните дейности.
</w:t>
              <w:br/>
              <w:t xml:space="preserve">3. Нормативна регламентация и специфични особености на организацията на труда и осигурителните отношения в системата на НЗОК.
</w:t>
              <w:br/>
              <w:t xml:space="preserve">4. Организация на административното обслужване при предоставяне на здравноосигурителните престации в първичната извънболнична медицинска помощ.
</w:t>
              <w:br/>
              <w:t xml:space="preserve">5. Организация на административното обслужване при предоставяне на здравноосигурителните престации в специализираната извънболнична медицинска помощ
</w:t>
              <w:br/>
              <w:t xml:space="preserve">6. Организация на административното обслужване при предоставяне на здравноосигурителните престации в болничната медицинска помощ.
</w:t>
              <w:br/>
              <w:t xml:space="preserve">7. Организация на административното обслужване на дейността по заплащане на стойността на лекарствени продукти, медицински изделия и диетични храни за специални медицински цели за домашно лечение.
</w:t>
              <w:br/>
              <w:t xml:space="preserve">8. Организация на административното обслужване предоставяне на здравноосигурителните престации при оказване на дентална помощ.
</w:t>
              <w:br/>
              <w:t xml:space="preserve">9. Организация на контролно-аналитичната работа.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VI. Организационно-икономическа характеристика на дейността на изпълнителите на медицинска помощ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разглежда следните основни въпроси:
</w:t>
              <w:br/>
              <w:t xml:space="preserve">1. Организационна структура и функционална характеристика на изпълнителите на медицинска помощ. Институционален профил на приемащата организация.
</w:t>
              <w:br/>
              <w:t xml:space="preserve">2. Изпълнителите на медицинска помощ като субект на осигурителния процес и социалнозащитните дейности.
</w:t>
              <w:br/>
              <w:t xml:space="preserve">3. Нормативна регламентация и специфични особености на организацията на труда и осигурителните отношения в приемащата организация.
</w:t>
              <w:br/>
              <w:t xml:space="preserve">4. Ресурсно осигуряване на дейността на приемащата организация.
</w:t>
              <w:br/>
              <w:t xml:space="preserve">5. Организация на взаимоотношенията с НЗОК.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VII. Организационно-икономическа характеристика и социални измерения на дейността на ПОД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разглежда следните основни въпроси:
</w:t>
              <w:br/>
              <w:t xml:space="preserve">1. Организационна структура и функционална характеристика на ПОД.
</w:t>
              <w:br/>
              <w:t xml:space="preserve">2. ПОД като субект на осигурителния процес и социалнозащитните дейности.
</w:t>
              <w:br/>
              <w:t xml:space="preserve">3. Нормативна регламентация и специфични особености на организацията на труда и осигурителните отношения в ПОД.
</w:t>
              <w:br/>
              <w:t xml:space="preserve">4. Организация на финансовата дейност на ПОД.
</w:t>
              <w:br/>
              <w:t xml:space="preserve">5. Пазарна политика и организация на предлагането и продажбите на пенсионноосигурителни продукти.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VIII. Организационно-икономическа характеристика и социални измерения на дейността на банковите институции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разглежда следните основни въпроси:
</w:t>
              <w:br/>
              <w:t xml:space="preserve">1. Организационна структура и функционална характеристика на приемащата банка.
</w:t>
              <w:br/>
              <w:t xml:space="preserve">2. Банките като субект на осигурителния процес и социалнозащитните дейности.
</w:t>
              <w:br/>
              <w:t xml:space="preserve">3. Нормативна регламентация и специфични особености на организацията на труда и осигурителните отношения в приемащата банка.
</w:t>
              <w:br/>
              <w:t xml:space="preserve">4. Организация на работата по обслужване на осигурителния процес и социалнозащитните дейности.
</w:t>
              <w:br/>
              <w:t xml:space="preserve">5. Социалнозащитни измерения на предлаганите финансови продукти.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IX. Организационно-икономическа характеристика и социални измерения на дейността на застрахователните компании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разглежда следните основни въпроси:
</w:t>
              <w:br/>
              <w:t xml:space="preserve">1. Организационна структура и функционална характеристика на застрахователната компания. Институционален профил на приемащото структурно звено.
</w:t>
              <w:br/>
              <w:t xml:space="preserve">2. Застрахователната защита и дейността на застрахователната компания в контекста на социалнозащитните дейности.
</w:t>
              <w:br/>
              <w:t xml:space="preserve">3. Нормативна регламентация и специфични особености на организацията на труда и осигурителните отношения в застрахователната компания.
</w:t>
              <w:br/>
              <w:t xml:space="preserve">4. Социалнозащитни измерения на предлаганите застрахователни продукти.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X. Организационно-икономическа характеристика и социални измерения на дейността на организациите от сферата на производството и услугите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разглежда следните основни въпроси:
</w:t>
              <w:br/>
              <w:t xml:space="preserve">1. Организационна структура и функционална характеристика на приемащата организация. Институционален профил на приемащото структурно звено.
</w:t>
              <w:br/>
              <w:t xml:space="preserve">2. Приемащата организация като субект на осигурителния процес и социалнозащитните дейности.
</w:t>
              <w:br/>
              <w:t xml:space="preserve">3. Нормативна регламентация и специфични особености на организацията на труда.
</w:t>
              <w:br/>
              <w:t xml:space="preserve">4. Организация на работата по администриране на сключването, изменението и прекратяването на трудови договори.
</w:t>
              <w:br/>
              <w:t xml:space="preserve">5. Организация на работата по установяване и отчитане на работното време и трудовия стаж.
</w:t>
              <w:br/>
              <w:t xml:space="preserve">6. Организация на работата по административното обслужване ползването на платен и неплатен отпуск.
</w:t>
              <w:br/>
              <w:t xml:space="preserve">7. Вътрешна организация на заплащането на труда и брутно трудово възнаграждение.
</w:t>
              <w:br/>
              <w:t xml:space="preserve">8. Съдържателни характеристики и специфични особености на осигурителните отношения. Обхват на осигуряването, осигурителен доход, размер и внасяне на дължимите осигурителни вноски. Подаване на данни. Изчисляване и документиране на осигурителен стаж и осигурителен доход.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XI. Организационно-икономическа характеристика и социални измерения на дейността на звена на местната администрация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разглежда следните основни въпроси:
</w:t>
              <w:br/>
              <w:t xml:space="preserve">1. Институционален профил, организационна структура и  функционална характеристика на приемащото звено.
</w:t>
              <w:br/>
              <w:t xml:space="preserve">2. Дейността на приемащото звено в контекста на  социалнозащитните дейности и социалното обслужване на територията на съответната административно-териториална единица.
</w:t>
              <w:br/>
              <w:t xml:space="preserve">3. Нормативна регламентация и специфични особености на организацията на труда и осигурителните отношения в приемащото звено.</w:t>
            </w:r>
          </w:p>
        </w:tc>
      </w:tr>
    </w:tbl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Ерусалимов)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3F43F" w14:textId="77777777" w:rsidR="00AD43E9" w:rsidRDefault="00AD43E9">
      <w:r>
        <w:separator/>
      </w:r>
    </w:p>
  </w:endnote>
  <w:endnote w:type="continuationSeparator" w:id="0">
    <w:p w14:paraId="20152407" w14:textId="77777777" w:rsidR="00AD43E9" w:rsidRDefault="00A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015A3" w14:textId="77777777" w:rsidR="00AD43E9" w:rsidRDefault="00AD43E9">
      <w:r>
        <w:separator/>
      </w:r>
    </w:p>
  </w:footnote>
  <w:footnote w:type="continuationSeparator" w:id="0">
    <w:p w14:paraId="1DBA5F6B" w14:textId="77777777" w:rsidR="00AD43E9" w:rsidRDefault="00AD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D43E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C25F9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5DDB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D43E9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861C6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4747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116</cp:revision>
  <cp:lastPrinted>2008-05-31T10:14:00Z</cp:lastPrinted>
  <dcterms:created xsi:type="dcterms:W3CDTF">2022-10-17T08:46:00Z</dcterms:created>
  <dcterms:modified xsi:type="dcterms:W3CDTF">2024-11-14T05:54:00Z</dcterms:modified>
</cp:coreProperties>
</file>