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ФИНАНСИ</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ЗАСТРАХОВАНЕ И СОЦИАЛНО ДЕЛО</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доц. д-р Румен Ерусалимов</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4</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26.11.2024</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6</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20.11.2024</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Застрахователно посредничество</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ФФ-КЗСД-Б-346</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4</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БАКАЛАВЪР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ФФ-КЗСД-Б-346</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БЪЛГАРСКИ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v.02/2024</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9</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4869" w:type="pct"/>
        <w:tblInd w:w="2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23"/>
        <w:gridCol w:w="1559"/>
        <w:gridCol w:w="1562"/>
        <w:gridCol w:w="1836"/>
      </w:tblGrid>
      <w:tr w:rsidR="00C10B36" w:rsidRPr="00C10B36" w14:paraId="0F7B059C" w14:textId="77777777" w:rsidTr="00F21C6D">
        <w:trPr>
          <w:cantSplit/>
          <w:trHeight w:val="1134"/>
        </w:trPr>
        <w:tc>
          <w:tcPr>
            <w:tcW w:w="2635"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 xml:space="preserve">/аудиторна и </w:t>
            </w:r>
            <w:proofErr w:type="spellStart"/>
            <w:r w:rsidRPr="00C10B36">
              <w:rPr>
                <w:rFonts w:ascii="Times New Roman" w:hAnsi="Times New Roman"/>
                <w:b/>
                <w:sz w:val="24"/>
                <w:szCs w:val="24"/>
                <w:lang w:val="bg-BG"/>
              </w:rPr>
              <w:t>извънаудиторна</w:t>
            </w:r>
            <w:proofErr w:type="spellEnd"/>
            <w:r w:rsidRPr="00C10B36">
              <w:rPr>
                <w:rFonts w:ascii="Times New Roman" w:hAnsi="Times New Roman"/>
                <w:b/>
                <w:sz w:val="24"/>
                <w:szCs w:val="24"/>
                <w:lang w:val="bg-BG"/>
              </w:rPr>
              <w:t>/</w:t>
            </w:r>
          </w:p>
        </w:tc>
        <w:tc>
          <w:tcPr>
            <w:tcW w:w="74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4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76"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CF40F4">
        <w:trPr>
          <w:cantSplit/>
          <w:trHeight w:val="315"/>
        </w:trPr>
        <w:tc>
          <w:tcPr>
            <w:tcW w:w="2635"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4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45</w:t>
            </w:r>
          </w:p>
        </w:tc>
        <w:tc>
          <w:tcPr>
            <w:tcW w:w="74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23</w:t>
            </w:r>
          </w:p>
        </w:tc>
        <w:tc>
          <w:tcPr>
            <w:tcW w:w="876"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45</w:t>
            </w:r>
          </w:p>
        </w:tc>
      </w:tr>
      <w:tr w:rsidR="00C10B36" w:rsidRPr="00C10B36" w14:paraId="324C41B6"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4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27</w:t>
            </w:r>
          </w:p>
        </w:tc>
        <w:tc>
          <w:tcPr>
            <w:tcW w:w="74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876"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27</w:t>
            </w:r>
          </w:p>
        </w:tc>
      </w:tr>
      <w:tr w:rsidR="00C10B36" w:rsidRPr="00C10B36" w14:paraId="21E1694A"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4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18</w:t>
            </w:r>
          </w:p>
        </w:tc>
        <w:tc>
          <w:tcPr>
            <w:tcW w:w="74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9</w:t>
            </w:r>
          </w:p>
        </w:tc>
        <w:tc>
          <w:tcPr>
            <w:tcW w:w="876"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18</w:t>
            </w:r>
          </w:p>
        </w:tc>
      </w:tr>
      <w:tr w:rsidR="00C10B36" w:rsidRPr="00C10B36" w14:paraId="3826982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 xml:space="preserve">2. </w:t>
            </w:r>
            <w:proofErr w:type="spellStart"/>
            <w:r>
              <w:rPr>
                <w:rFonts w:ascii="Times New Roman" w:hAnsi="Times New Roman"/>
                <w:b/>
                <w:sz w:val="24"/>
                <w:szCs w:val="24"/>
                <w:lang w:val="bg-BG"/>
              </w:rPr>
              <w:t>Извънаудиторна</w:t>
            </w:r>
            <w:proofErr w:type="spellEnd"/>
            <w:r>
              <w:rPr>
                <w:rFonts w:ascii="Times New Roman" w:hAnsi="Times New Roman"/>
                <w:b/>
                <w:sz w:val="24"/>
                <w:szCs w:val="24"/>
                <w:lang w:val="bg-BG"/>
              </w:rPr>
              <w:t xml:space="preserve"> заетост</w:t>
            </w:r>
            <w:r w:rsidR="003C3856">
              <w:rPr>
                <w:rFonts w:ascii="Times New Roman" w:hAnsi="Times New Roman"/>
                <w:b/>
                <w:sz w:val="24"/>
                <w:szCs w:val="24"/>
                <w:lang w:val="bg-BG"/>
              </w:rPr>
              <w:t xml:space="preserve"> (ИАЗ)</w:t>
            </w:r>
          </w:p>
        </w:tc>
        <w:tc>
          <w:tcPr>
            <w:tcW w:w="74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63</w:t>
            </w:r>
          </w:p>
        </w:tc>
        <w:tc>
          <w:tcPr>
            <w:tcW w:w="74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85</w:t>
            </w:r>
          </w:p>
        </w:tc>
        <w:tc>
          <w:tcPr>
            <w:tcW w:w="876"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63</w:t>
            </w:r>
          </w:p>
        </w:tc>
      </w:tr>
      <w:tr w:rsidR="00C10B36" w:rsidRPr="00C10B36" w14:paraId="60DA9145"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4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32</w:t>
            </w:r>
          </w:p>
        </w:tc>
        <w:tc>
          <w:tcPr>
            <w:tcW w:w="74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43</w:t>
            </w:r>
          </w:p>
        </w:tc>
        <w:tc>
          <w:tcPr>
            <w:tcW w:w="876"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32</w:t>
            </w:r>
          </w:p>
        </w:tc>
      </w:tr>
      <w:tr w:rsidR="00C10B36" w:rsidRPr="00C10B36" w14:paraId="6EE3A9F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4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31</w:t>
            </w:r>
          </w:p>
        </w:tc>
        <w:tc>
          <w:tcPr>
            <w:tcW w:w="74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42</w:t>
            </w:r>
          </w:p>
        </w:tc>
        <w:tc>
          <w:tcPr>
            <w:tcW w:w="876"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31</w:t>
            </w:r>
          </w:p>
        </w:tc>
      </w:tr>
      <w:tr w:rsidR="00C10B36" w:rsidRPr="00C10B36" w14:paraId="006F7758"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4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15</w:t>
            </w:r>
          </w:p>
        </w:tc>
        <w:tc>
          <w:tcPr>
            <w:tcW w:w="74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21</w:t>
            </w:r>
          </w:p>
        </w:tc>
        <w:tc>
          <w:tcPr>
            <w:tcW w:w="876"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0</w:t>
            </w:r>
          </w:p>
        </w:tc>
      </w:tr>
      <w:tr w:rsidR="00C10B36" w:rsidRPr="00C10B36" w14:paraId="5EDF34F1" w14:textId="77777777" w:rsidTr="00CF40F4">
        <w:trPr>
          <w:cantSplit/>
          <w:trHeight w:val="287"/>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4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1CBF67C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4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083BD6D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4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16</w:t>
            </w:r>
          </w:p>
        </w:tc>
        <w:tc>
          <w:tcPr>
            <w:tcW w:w="74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21</w:t>
            </w:r>
          </w:p>
        </w:tc>
        <w:tc>
          <w:tcPr>
            <w:tcW w:w="876"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31</w:t>
            </w:r>
          </w:p>
        </w:tc>
      </w:tr>
      <w:tr w:rsidR="00C10B36" w:rsidRPr="00C10B36" w14:paraId="0BADC85D" w14:textId="77777777" w:rsidTr="00CF40F4">
        <w:trPr>
          <w:cantSplit/>
        </w:trPr>
        <w:tc>
          <w:tcPr>
            <w:tcW w:w="2635"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4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108</w:t>
            </w:r>
          </w:p>
        </w:tc>
        <w:tc>
          <w:tcPr>
            <w:tcW w:w="74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108</w:t>
            </w:r>
          </w:p>
        </w:tc>
        <w:tc>
          <w:tcPr>
            <w:tcW w:w="876"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108</w:t>
            </w:r>
          </w:p>
        </w:tc>
      </w:tr>
    </w:tbl>
    <w:p w14:paraId="24EC4CD6" w14:textId="77777777" w:rsidR="00A34223" w:rsidRPr="00C10B36" w:rsidRDefault="00A34223" w:rsidP="00E26DC1">
      <w:pPr>
        <w:ind w:firstLine="708"/>
        <w:jc w:val="both"/>
        <w:rPr>
          <w:rFonts w:ascii="Times New Roman" w:hAnsi="Times New Roman"/>
          <w:sz w:val="18"/>
          <w:szCs w:val="16"/>
          <w:lang w:val="bg-BG"/>
        </w:rPr>
      </w:pPr>
    </w:p>
    <w:p w14:paraId="2CE0F36F" w14:textId="419298F3" w:rsidR="00C32E02" w:rsidRPr="00AB7A25" w:rsidRDefault="00C32E02" w:rsidP="006A52F9">
      <w:pPr>
        <w:overflowPunct/>
        <w:autoSpaceDE/>
        <w:autoSpaceDN/>
        <w:adjustRightInd/>
        <w:textAlignment w:val="auto"/>
        <w:rPr>
          <w:rFonts w:ascii="Times New Roman" w:hAnsi="Times New Roman"/>
          <w:b/>
          <w:sz w:val="28"/>
          <w:szCs w:val="24"/>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4873" w:type="pct"/>
        <w:tblInd w:w="2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092"/>
        <w:gridCol w:w="1278"/>
        <w:gridCol w:w="1275"/>
        <w:gridCol w:w="1844"/>
      </w:tblGrid>
      <w:tr w:rsidR="0007480B" w:rsidRPr="00C10B36" w14:paraId="5A8F9508" w14:textId="77777777" w:rsidTr="00F21C6D">
        <w:trPr>
          <w:cantSplit/>
          <w:trHeight w:val="510"/>
        </w:trPr>
        <w:tc>
          <w:tcPr>
            <w:tcW w:w="2904"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96"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F21C6D">
        <w:trPr>
          <w:cantSplit/>
          <w:trHeight w:val="510"/>
        </w:trPr>
        <w:tc>
          <w:tcPr>
            <w:tcW w:w="2904"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609"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608"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78"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F21C6D">
        <w:trPr>
          <w:cantSplit/>
          <w:trHeight w:val="636"/>
        </w:trPr>
        <w:tc>
          <w:tcPr>
            <w:tcW w:w="2904"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609"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50%</w:t>
            </w:r>
          </w:p>
        </w:tc>
        <w:tc>
          <w:tcPr>
            <w:tcW w:w="608"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50%</w:t>
            </w:r>
          </w:p>
        </w:tc>
        <w:tc>
          <w:tcPr>
            <w:tcW w:w="878"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50%</w:t>
            </w:r>
          </w:p>
        </w:tc>
      </w:tr>
      <w:tr w:rsidR="0007480B" w:rsidRPr="00C10B36" w14:paraId="616E9B07" w14:textId="77777777" w:rsidTr="00F21C6D">
        <w:trPr>
          <w:cantSplit/>
          <w:trHeight w:val="590"/>
        </w:trPr>
        <w:tc>
          <w:tcPr>
            <w:tcW w:w="2904"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10%</w:t>
            </w:r>
          </w:p>
        </w:tc>
        <w:tc>
          <w:tcPr>
            <w:tcW w:w="608"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29F9FA5C" w14:textId="77777777" w:rsidTr="00F21C6D">
        <w:trPr>
          <w:cantSplit/>
          <w:trHeight w:val="708"/>
        </w:trPr>
        <w:tc>
          <w:tcPr>
            <w:tcW w:w="2904"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lastRenderedPageBreak/>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10%</w:t>
            </w:r>
          </w:p>
        </w:tc>
        <w:tc>
          <w:tcPr>
            <w:tcW w:w="608"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6EB790B7" w14:textId="77777777" w:rsidTr="00F21C6D">
        <w:trPr>
          <w:cantSplit/>
          <w:trHeight w:val="686"/>
        </w:trPr>
        <w:tc>
          <w:tcPr>
            <w:tcW w:w="2904"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609"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30%</w:t>
            </w:r>
          </w:p>
        </w:tc>
        <w:tc>
          <w:tcPr>
            <w:tcW w:w="608"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50%</w:t>
            </w:r>
          </w:p>
        </w:tc>
        <w:tc>
          <w:tcPr>
            <w:tcW w:w="878"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50%</w:t>
            </w:r>
          </w:p>
        </w:tc>
      </w:tr>
      <w:tr w:rsidR="0007480B" w:rsidRPr="00C10B36" w14:paraId="31CA375E" w14:textId="77777777" w:rsidTr="00F21C6D">
        <w:trPr>
          <w:cantSplit/>
          <w:trHeight w:val="721"/>
        </w:trPr>
        <w:tc>
          <w:tcPr>
            <w:tcW w:w="2904"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Семестриалният изпит по дисциплината „Застрахователно посредничество” се състои в решаване на тест с открити и закрити въпроси, обхващащи всички теми от учебната програма. Всеки верен отговор носи определен брой точки. За грешен отговор не се отнемат точки.</w:t>
            </w:r>
          </w:p>
        </w:tc>
        <w:tc>
          <w:tcPr>
            <w:tcW w:w="609"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608"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878"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50%</w:t>
            </w:r>
          </w:p>
        </w:tc>
      </w:tr>
      <w:tr w:rsidR="0007480B" w:rsidRPr="00C10B36" w14:paraId="065188B6" w14:textId="77777777" w:rsidTr="00F21C6D">
        <w:trPr>
          <w:cantSplit/>
          <w:trHeight w:val="349"/>
        </w:trPr>
        <w:tc>
          <w:tcPr>
            <w:tcW w:w="2904"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609"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608"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78"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Учебната дисциплина „Застрахователно посредничество” очертава необходимостта от участието на застрахователните посредници на застрахователния пазар. Прави се класификация на застрахователните посредници на базата на разнообразни критерии. Изясняват се изискванията към дейността на застрахователните агенти и застрахователните брокери. Специално внимание в курса е обърнато на: създаването, управлението и контрола на агентската мрежа; професионалното обучение и развитие на служителите на застрахователните брокери, заети с разпространението на застрахователни продукти.</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Вход за дисциплината „Застрахователно посредничество” са знанията, които студентите са получили в курсовете „Икономика на застраховането”, „Организация на застраховането”, „Застрахователен пазар”.</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Материалът по учебната дисциплина „Застрахователно посредничество” се поднася под формата на лекции, които се онагледяват с примери от застрахователната практика и документи, формуляри и др.п. материали, използвани в дейността на застрахователните посредници в България. На семинарните занятия се проверява степента на усвояване на предадения на лекции учебен материал. Поднася се допълнителна информация по разглежданите теми. Провеждат се дискусии, решават се казуси и тестове. Дават се насоки за решаване на семестриалните задания и се анализира тяхното изпълнение.</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Електронен обмен на информация, активна комуникация, методическо ръководство и съдействие при усвояване и приложно интерпретиране на изучаваната проблематика.</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Дисциплината „Застрахователно посредничество” дава знания за: спецификата в дейността на застрахователните посредници; изискванията за извършване на посредническа дейност в България; значението на алтернативните застрахователни посредници; основните етапи и процедури, свързани с набирането, обучението и контрола на застрахователните агенти; изискванията към професионалната подготовка на служителите на застрахователните брокери, заети с разпространението на застрахователни продукти.</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Университет за национално и световно стопанство – София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Висше училище по застраховане и финанси – София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Poznan University of Economics and Business – Познан, Полша</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992"/>
        <w:gridCol w:w="992"/>
        <w:gridCol w:w="993"/>
        <w:gridCol w:w="992"/>
        <w:gridCol w:w="992"/>
        <w:gridCol w:w="992"/>
      </w:tblGrid>
      <w:tr w:rsidR="00A56E5C" w:rsidRPr="00C10B36" w14:paraId="1AEEED1E" w14:textId="77777777" w:rsidTr="00795473">
        <w:trPr>
          <w:trHeight w:val="592"/>
        </w:trPr>
        <w:tc>
          <w:tcPr>
            <w:tcW w:w="4820" w:type="dxa"/>
            <w:vMerge w:val="restart"/>
            <w:shd w:val="clear" w:color="auto" w:fill="D9D9D9"/>
            <w:vAlign w:val="center"/>
          </w:tcPr>
          <w:p w14:paraId="08075BE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lastRenderedPageBreak/>
              <w:t>ТемИ</w:t>
            </w:r>
          </w:p>
        </w:tc>
        <w:tc>
          <w:tcPr>
            <w:tcW w:w="1984" w:type="dxa"/>
            <w:gridSpan w:val="2"/>
            <w:shd w:val="clear" w:color="auto" w:fill="D9D9D9"/>
            <w:vAlign w:val="center"/>
          </w:tcPr>
          <w:p w14:paraId="1D5E321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Pr>
                <w:rFonts w:ascii="Times New Roman" w:hAnsi="Times New Roman"/>
                <w:b/>
                <w:caps/>
                <w:color w:val="232323"/>
                <w:spacing w:val="-17"/>
                <w:sz w:val="24"/>
                <w:szCs w:val="24"/>
                <w:lang w:val="bg-BG"/>
              </w:rPr>
              <w:t>Р</w:t>
            </w:r>
            <w:r>
              <w:rPr>
                <w:rFonts w:ascii="Times New Roman" w:hAnsi="Times New Roman"/>
                <w:b/>
                <w:color w:val="232323"/>
                <w:spacing w:val="-17"/>
                <w:sz w:val="24"/>
                <w:szCs w:val="24"/>
                <w:lang w:val="bg-BG"/>
              </w:rPr>
              <w:t>едовна форма на обучение</w:t>
            </w:r>
          </w:p>
        </w:tc>
        <w:tc>
          <w:tcPr>
            <w:tcW w:w="1985" w:type="dxa"/>
            <w:gridSpan w:val="2"/>
            <w:shd w:val="clear" w:color="auto" w:fill="D9D9D9"/>
            <w:vAlign w:val="center"/>
          </w:tcPr>
          <w:p w14:paraId="41B58A6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З</w:t>
            </w:r>
            <w:r>
              <w:rPr>
                <w:rFonts w:ascii="Times New Roman" w:hAnsi="Times New Roman"/>
                <w:b/>
                <w:color w:val="232323"/>
                <w:spacing w:val="-17"/>
                <w:sz w:val="24"/>
                <w:szCs w:val="24"/>
                <w:lang w:val="bg-BG"/>
              </w:rPr>
              <w:t>адочна форма на обучение</w:t>
            </w:r>
          </w:p>
        </w:tc>
        <w:tc>
          <w:tcPr>
            <w:tcW w:w="1984" w:type="dxa"/>
            <w:gridSpan w:val="2"/>
            <w:shd w:val="clear" w:color="auto" w:fill="D9D9D9"/>
          </w:tcPr>
          <w:p w14:paraId="6C8A912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4070DE">
              <w:rPr>
                <w:rFonts w:ascii="Times New Roman" w:hAnsi="Times New Roman" w:hint="eastAsia"/>
                <w:b/>
                <w:caps/>
                <w:color w:val="232323"/>
                <w:spacing w:val="-17"/>
                <w:sz w:val="24"/>
                <w:szCs w:val="24"/>
                <w:lang w:val="bg-BG"/>
              </w:rPr>
              <w:t>Д</w:t>
            </w:r>
            <w:r w:rsidRPr="004070DE">
              <w:rPr>
                <w:rFonts w:ascii="Times New Roman" w:hAnsi="Times New Roman" w:hint="eastAsia"/>
                <w:b/>
                <w:color w:val="232323"/>
                <w:spacing w:val="-17"/>
                <w:sz w:val="24"/>
                <w:szCs w:val="24"/>
                <w:lang w:val="bg-BG"/>
              </w:rPr>
              <w:t>истанционна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форма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обучение</w:t>
            </w:r>
          </w:p>
        </w:tc>
      </w:tr>
      <w:tr w:rsidR="00A56E5C" w:rsidRPr="00C10B36" w14:paraId="3FEC74E8" w14:textId="77777777" w:rsidTr="00795473">
        <w:trPr>
          <w:trHeight w:val="289"/>
        </w:trPr>
        <w:tc>
          <w:tcPr>
            <w:tcW w:w="4820" w:type="dxa"/>
            <w:vMerge/>
            <w:shd w:val="clear" w:color="auto" w:fill="D9D9D9"/>
          </w:tcPr>
          <w:p w14:paraId="5B0B660C" w14:textId="77777777" w:rsidR="00A56E5C" w:rsidRPr="00C10B36" w:rsidRDefault="00A56E5C" w:rsidP="00795473">
            <w:pPr>
              <w:spacing w:line="240" w:lineRule="atLeast"/>
              <w:rPr>
                <w:rFonts w:ascii="Times New Roman" w:hAnsi="Times New Roman"/>
                <w:b/>
                <w:color w:val="232323"/>
                <w:spacing w:val="-17"/>
                <w:sz w:val="24"/>
                <w:szCs w:val="24"/>
                <w:lang w:val="bg-BG"/>
              </w:rPr>
            </w:pPr>
          </w:p>
        </w:tc>
        <w:tc>
          <w:tcPr>
            <w:tcW w:w="992" w:type="dxa"/>
            <w:shd w:val="clear" w:color="auto" w:fill="D9D9D9"/>
            <w:vAlign w:val="center"/>
          </w:tcPr>
          <w:p w14:paraId="5F56C58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1EE3DC54"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3" w:type="dxa"/>
            <w:shd w:val="clear" w:color="auto" w:fill="D9D9D9"/>
            <w:vAlign w:val="center"/>
          </w:tcPr>
          <w:p w14:paraId="26883CA9"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538BF76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2" w:type="dxa"/>
            <w:shd w:val="clear" w:color="auto" w:fill="D9D9D9"/>
          </w:tcPr>
          <w:p w14:paraId="3BA0479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tcPr>
          <w:p w14:paraId="0EE69B9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НЕОБХОДИМОСТ ОТ ЗАСТРАХОВАТЕЛНИ ПОСРЕДНИЦИ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Темата запознава студентите с/със:
</w:t>
              <w:br/>
              <w:t xml:space="preserve">- появата и развитието на застрахователното посредничество;
</w:t>
              <w:br/>
              <w:t xml:space="preserve">- факторите за възникване на застрахователното посредничество;
</w:t>
              <w:br/>
              <w:t xml:space="preserve">- същността на посредническата дейност в застраховането;
</w:t>
              <w:br/>
              <w:t xml:space="preserve">- класификацията на застрахователните посредници според различни критерии.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СТАТУТ НА ЗАСТРАХОВАТЕЛНИЯ БРОКЕР</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1.5</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Темата запознава студентите с:
</w:t>
              <w:br/>
              <w:t xml:space="preserve">- дейността на застрахователните брокери;
</w:t>
              <w:br/>
              <w:t xml:space="preserve">- нормативните изисквания за извършване на дейност като застрахователен брокер.</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СТАТУТ НА ЗАСТРАХОВАТЕЛНИЯ АГЕНТ</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1.5</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Темата запознава студентите с:
</w:t>
              <w:br/>
              <w:t xml:space="preserve">- дейността на застрахователните агенти;
</w:t>
              <w:br/>
              <w:t xml:space="preserve">- нормативните изисквания за извършване на дейност като застрахователен агент.</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АЛТЕРНАТИВНИ ЗАСТРАХОВАТЕЛНИ ПОСРЕДНИЦИ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Темата запознава студентите с:
</w:t>
              <w:br/>
              <w:t xml:space="preserve">- предпоставките за използване на алтернативни застрахователни посредници;
</w:t>
              <w:br/>
              <w:t xml:space="preserve">- изискванията към дейността на алтернативните застрахователни посредници;
</w:t>
              <w:br/>
              <w:t xml:space="preserve">- комплексното предлагане на финансови услуги.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ДЕЙНОСТ НА ЗАСТРАХОВАТЕЛНИТЕ ПОСРЕДНИЦИ В ЧУЖБИНА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В темата се прави преглед на европейската нормативна уредба, регулираща застрахователното посредничество в Европейския съюз. Представят се възможностите и процедурите за извършване на застрахователно посредничество в Европейския съюз и в държави извън него. Характеризират се най-популярните форми за работа в чужбина - право на установяване и свободно предлагане на услуги.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СИСТЕМИ ЗА ВЪЗНАГРАЖДЕНИЕ НА ТРУДА НА ЗАСТРАХОВАТЕЛНИТЕ ПОСРЕДНИЦИ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В темата се представят спецификите при определяне на възнаграждението на посредниците при най-често прилаганите системи за това:
</w:t>
              <w:br/>
              <w:t xml:space="preserve">- провизионна система;
</w:t>
              <w:br/>
              <w:t xml:space="preserve">- административна система;
</w:t>
              <w:br/>
              <w:t xml:space="preserve">- комбинирана система;
</w:t>
              <w:br/>
              <w:t xml:space="preserve">- система „Мултилевъл маркетинг”.</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СЪЗДАВАНЕ, УПРАВЛЕНИЕ И КОНТРОЛ НА АГЕНТСКА МРЕЖА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Темата запознава студентите с/със:
</w:t>
              <w:br/>
              <w:t xml:space="preserve">- спецификите в изграждането на агентска мрежа;
</w:t>
              <w:br/>
              <w:t xml:space="preserve">- видовете агентски мрежи;
</w:t>
              <w:br/>
              <w:t xml:space="preserve">- нормативните изисквания относно обученията на застрахователните агенти;
</w:t>
              <w:br/>
              <w:t xml:space="preserve">- организационните аспекти в дейността на застрахователните агенти;
</w:t>
              <w:br/>
              <w:t xml:space="preserve">- йерархичната структура за контрол на агентската мрежа;
</w:t>
              <w:br/>
              <w:t xml:space="preserve">- показателите за анализ на дейността на агентската мрежа.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ПРОФЕСИОНАЛНО ОБУЧЕНИЕ И РАЗВИТИЕ НА СЛУЖИТЕЛИТЕ НА ЗАСТРАХОВАТЕЛНИТЕ БРОКЕРИ, ЗАЕТИ С РАЗПРОСТРАНЕНИЕТО НА ЗАСТРАХОВАТЕЛНИ ПРОДУКТИ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Темата запознава студентите с:
</w:t>
              <w:br/>
              <w:t xml:space="preserve">- нормативните изисквания относно въвеждащото обучение на служителите на застрахователните брокери, заети с разпространението на застрахователни продукти;
</w:t>
              <w:br/>
              <w:t xml:space="preserve">- тематичния обхват на въвеждащото обучение;
</w:t>
              <w:br/>
              <w:t xml:space="preserve">- изискванията, на които трябва да отговарят обучителните организации за провеждане на въвеждащото обучение;
</w:t>
              <w:br/>
              <w:t xml:space="preserve">- нормативните изисквания относно продължаващите обучения на служителите на застрахователните брокери, заети с разпространението на застрахователни продукти.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273C6FBE" w14:textId="77777777" w:rsidTr="00795473">
        <w:trPr>
          <w:trHeight w:val="289"/>
        </w:trPr>
        <w:tc>
          <w:tcPr>
            <w:tcW w:w="4820" w:type="dxa"/>
            <w:shd w:val="clear" w:color="auto" w:fill="D9D9D9"/>
          </w:tcPr>
          <w:p w14:paraId="2BD39866" w14:textId="5258464F" w:rsidR="00A56E5C" w:rsidRPr="002F782E" w:rsidRDefault="002F782E" w:rsidP="00795473">
            <w:pPr>
              <w:spacing w:line="240" w:lineRule="atLeast"/>
              <w:jc w:val="right"/>
              <w:rPr>
                <w:rFonts w:ascii="Times New Roman" w:hAnsi="Times New Roman"/>
                <w:b/>
                <w:color w:val="232323"/>
                <w:spacing w:val="-17"/>
                <w:sz w:val="28"/>
                <w:szCs w:val="28"/>
              </w:rPr>
            </w:pPr>
            <w:r>
              <w:rPr>
                <w:rFonts w:ascii="Times New Roman" w:hAnsi="Times New Roman"/>
                <w:b/>
                <w:color w:val="232323"/>
                <w:spacing w:val="-17"/>
                <w:sz w:val="28"/>
                <w:szCs w:val="28"/>
              </w:rPr>
              <w:t>Общо:</w:t>
            </w:r>
          </w:p>
        </w:tc>
        <w:tc>
          <w:tcPr>
            <w:tcW w:w="992" w:type="dxa"/>
            <w:shd w:val="clear" w:color="auto" w:fill="D9D9D9"/>
          </w:tcPr>
          <w:p w14:paraId="6F8A3FEB" w14:textId="7D583657"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27</w:t>
            </w:r>
          </w:p>
        </w:tc>
        <w:tc>
          <w:tcPr>
            <w:tcW w:w="992" w:type="dxa"/>
            <w:shd w:val="clear" w:color="auto" w:fill="D9D9D9"/>
          </w:tcPr>
          <w:p w14:paraId="25C3036C" w14:textId="58E956B0"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18</w:t>
            </w:r>
          </w:p>
        </w:tc>
        <w:tc>
          <w:tcPr>
            <w:tcW w:w="993" w:type="dxa"/>
            <w:shd w:val="clear" w:color="auto" w:fill="D9D9D9"/>
          </w:tcPr>
          <w:p w14:paraId="45671330" w14:textId="4E8BF9D6"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2" w:type="dxa"/>
            <w:shd w:val="clear" w:color="auto" w:fill="D9D9D9"/>
          </w:tcPr>
          <w:p w14:paraId="1E57E0D2" w14:textId="56E05F7A"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9</w:t>
            </w:r>
          </w:p>
        </w:tc>
        <w:tc>
          <w:tcPr>
            <w:tcW w:w="992" w:type="dxa"/>
            <w:shd w:val="clear" w:color="auto" w:fill="D9D9D9"/>
          </w:tcPr>
          <w:p w14:paraId="2C589D99" w14:textId="0EA6C27C"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27</w:t>
            </w:r>
          </w:p>
        </w:tc>
        <w:tc>
          <w:tcPr>
            <w:tcW w:w="992" w:type="dxa"/>
            <w:shd w:val="clear" w:color="auto" w:fill="D9D9D9"/>
          </w:tcPr>
          <w:p w14:paraId="5EA2D118" w14:textId="6BF655D2"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18</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BE0A81">
        <w:trPr>
          <w:cantSplit/>
        </w:trPr>
        <w:tc>
          <w:tcPr>
            <w:tcW w:w="2722"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278"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BE0A81">
        <w:trPr>
          <w:cantSplit/>
        </w:trPr>
        <w:tc>
          <w:tcPr>
            <w:tcW w:w="2722"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37"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41"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BE0A81">
        <w:tc>
          <w:tcPr>
            <w:tcW w:w="2722"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37"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00662993" w14:textId="77777777" w:rsidTr="00BE0A81">
        <w:tc>
          <w:tcPr>
            <w:tcW w:w="2722"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37"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7DD4281D" w14:textId="77777777" w:rsidTr="00BE0A81">
        <w:tc>
          <w:tcPr>
            <w:tcW w:w="2722"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37"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41"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bl>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Панева, А. Застрахователно посредничество. Свищов: АИ Ценов, 2023, ISBN: 978-954-23-2348-8.</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 </w:t>
            </w:r>
            <w:r w:rsidR="007C6374">
              <w:rPr>
                <w:rFonts w:ascii="Times New Roman" w:hAnsi="Times New Roman"/>
                <w:bCs/>
                <w:color w:val="222222"/>
                <w:spacing w:val="-7"/>
                <w:sz w:val="24"/>
                <w:szCs w:val="24"/>
              </w:rPr>
              <w:t>Учебен курс в Платформата за дистанционно и електронно обучение на СА “Д. А. Ценов“, https://dl.uni-svishtov.bg.</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Ерусалимов, Р., Панева, А. Застрахователен пазар. Свищов: АИ Ценов, 2021, ISBN: 978-954-23-1978-8.</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Ерусалимов, Р., Василев, В., Йорданов, Пл., Панева, А., Димитров, П. Въведение в застраховането. Свищов: АИ Ценов, 2019.</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Панева, А. Застрахователен пазар. В. Търново: Фабер, 2017.</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Драганов, Хр., Гълъбинов, Р. Наръчник на застрахователния посредник. София: Тракия-М, 2003.</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Пазарни и извънпазарни системни предизвикателства пред застраховането и осигуряването – теория, практика, проблеми и решения: Национална научно-практическа конференция. Сборник с доклади – Свищов, 11-12 октомври 2024 г., АИ Ценов, 2024, ISBN: 978-954-23-2512-3.</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Василев, В., Панева, А. Дистрибуционни канали на застрахователния пазар в България – състояние, тенденции, перспективи. // В: Трудът и социалната защита в условията на глобални обществени, икономически и социални промени: Юбилейна научна конференция – София, 31 май 2023 г., Издателски комплекс – УНСС, 163-175, ISBN: 978-619-232-731-6.</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Ерусалимов, Р., Панева, А. Влияние на законово регламентираните обучения върху професионалното развитие на служителите на застрахователните брокери. // Алманах „Научни изследвания”, Свищов: АИ Ценов, 2021, том 29, 177-206, ISSN: 1312-3815.</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Панева, А. Качественото професионално обучение на застрахователните агенти – предпоставка за успешно развитие на застрахователния бизнес. // Във: Възможности за развитие на бизнеса – икономически, управленски и социални измерения: Международна научно-практическа конференция – Свищов, 30.11.2018 г., АИ Ценов, 2018, 373-380, ISBN: 978-954-23-1702-9.</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 </w:t>
            </w:r>
            <w:r>
              <w:rPr>
                <w:rFonts w:ascii="Times New Roman" w:hAnsi="Times New Roman"/>
                <w:bCs/>
                <w:color w:val="222222"/>
                <w:spacing w:val="-7"/>
                <w:sz w:val="24"/>
                <w:szCs w:val="24"/>
              </w:rPr>
              <w:t>Василев, В. Някои аспекти в обучението на застрахователните посредници. // В: Устойчиво развитие на застрахователния и осигурителния пазар в условията на динамична регулаторна среда: Национална кръгла маса – Свищов, 14-15.10.2017 г., АИ Ценов, 2017, 81-86, ISBN: 978-954-23-1382-3.</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 </w:t>
            </w:r>
            <w:r>
              <w:rPr>
                <w:rFonts w:ascii="Times New Roman" w:hAnsi="Times New Roman"/>
                <w:bCs/>
                <w:color w:val="222222"/>
                <w:spacing w:val="-7"/>
                <w:sz w:val="24"/>
                <w:szCs w:val="24"/>
              </w:rPr>
              <w:t>Панева, А. Комплексни финансови продукти задоволяват очакванията на клиента. // ПИК (Пари Инвестиции Капитал), 2006, № 3, 19-21.</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11. </w:t>
            </w:r>
            <w:r>
              <w:rPr>
                <w:rFonts w:ascii="Times New Roman" w:hAnsi="Times New Roman"/>
                <w:bCs/>
                <w:color w:val="222222"/>
                <w:spacing w:val="-7"/>
                <w:sz w:val="24"/>
                <w:szCs w:val="24"/>
              </w:rPr>
              <w:t>Erusalimov, R., Vasilev, V., Paneva, A. Implementation of Directive (EU) 2016/97 in the Bulgarian Insurance Legislation – Factor of Improving the Insurance Distribution Quality. // Modern Aspects of the Legal and Regulatory Insurance Concept: XXI Conference – Serbia, Sabac, 25-27 September 2020, 318-328, ISBN: 978-86-920975-3-9.</w:t>
            </w:r>
          </w:p>
        </w:tc>
      </w:tr>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Кодекс за застраховането.</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Директива (ЕС) 2016/97 на Европейския парламент и на Съвета от 20 януари 2016 година относно разпространението на застрахователни продукти.</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Наредба №28 от 10.05.2006 г. за условията и реда за провеждане на изпит за професионална квалификация на застрахователните брокери и за признаване на квалификация, придобита в държава членка, и за регистрация на материалите за професионално обучение.</w:t>
            </w:r>
          </w:p>
        </w:tc>
      </w:tr>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http://www.fsc.bg – сайт на Комисията за финансов надзор.</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http://www.azbb.bg – сайт на Асоциацията на застрахователните брокери в България.</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http://baib.bg – сайт на Българската асоциация на застрахователните брокери.</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http://www.ozbrokeri.bg/ – сайт на Сдружение „Обединени Застрахователни Брокери“.</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http://bipar.eu/en/home - сайт на Европейската федерация на застрахователните посредници (BIPAR).</w:t>
            </w:r>
          </w:p>
        </w:tc>
      </w:tr>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гл. ас. д-р Анелия Панева)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доц. д-р Пламен Йорданов</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53F737" w14:textId="77777777" w:rsidR="00AE28E2" w:rsidRDefault="00AE28E2">
      <w:r>
        <w:separator/>
      </w:r>
    </w:p>
  </w:endnote>
  <w:endnote w:type="continuationSeparator" w:id="0">
    <w:p w14:paraId="474A5D34" w14:textId="77777777" w:rsidR="00AE28E2" w:rsidRDefault="00AE2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817757" w14:textId="77777777" w:rsidR="00AE28E2" w:rsidRDefault="00AE28E2">
      <w:r>
        <w:separator/>
      </w:r>
    </w:p>
  </w:footnote>
  <w:footnote w:type="continuationSeparator" w:id="0">
    <w:p w14:paraId="1A40698A" w14:textId="77777777" w:rsidR="00AE28E2" w:rsidRDefault="00AE28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AE28E2"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78"/>
    <w:rsid w:val="00051E3D"/>
    <w:rsid w:val="00061F75"/>
    <w:rsid w:val="00062272"/>
    <w:rsid w:val="00065D0C"/>
    <w:rsid w:val="00067779"/>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A7805"/>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59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7895"/>
    <w:rsid w:val="004C1D7D"/>
    <w:rsid w:val="004C5867"/>
    <w:rsid w:val="004C6C66"/>
    <w:rsid w:val="004E2D45"/>
    <w:rsid w:val="004F1F56"/>
    <w:rsid w:val="004F4845"/>
    <w:rsid w:val="00501470"/>
    <w:rsid w:val="00502E97"/>
    <w:rsid w:val="00502F92"/>
    <w:rsid w:val="005030C8"/>
    <w:rsid w:val="0050391F"/>
    <w:rsid w:val="00527CA0"/>
    <w:rsid w:val="0053190A"/>
    <w:rsid w:val="00541760"/>
    <w:rsid w:val="00546B7B"/>
    <w:rsid w:val="00551402"/>
    <w:rsid w:val="00551A85"/>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008"/>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08C4"/>
    <w:rsid w:val="008318C5"/>
    <w:rsid w:val="00831D30"/>
    <w:rsid w:val="00844C87"/>
    <w:rsid w:val="00845130"/>
    <w:rsid w:val="00850B67"/>
    <w:rsid w:val="00850D27"/>
    <w:rsid w:val="00851011"/>
    <w:rsid w:val="008564BE"/>
    <w:rsid w:val="00861C59"/>
    <w:rsid w:val="00865DDB"/>
    <w:rsid w:val="0087237F"/>
    <w:rsid w:val="00872565"/>
    <w:rsid w:val="008742B5"/>
    <w:rsid w:val="00880DFD"/>
    <w:rsid w:val="00883BC3"/>
    <w:rsid w:val="008A501D"/>
    <w:rsid w:val="008D04AA"/>
    <w:rsid w:val="008D2878"/>
    <w:rsid w:val="008D3DCC"/>
    <w:rsid w:val="008D41D4"/>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7A25"/>
    <w:rsid w:val="00AB7B02"/>
    <w:rsid w:val="00AC6C1E"/>
    <w:rsid w:val="00AD18D2"/>
    <w:rsid w:val="00AE28E2"/>
    <w:rsid w:val="00AE7381"/>
    <w:rsid w:val="00AE7443"/>
    <w:rsid w:val="00AF457B"/>
    <w:rsid w:val="00AF6AE2"/>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C314D"/>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12A5"/>
    <w:rsid w:val="00D7125E"/>
    <w:rsid w:val="00D77BC3"/>
    <w:rsid w:val="00D80EF8"/>
    <w:rsid w:val="00D841F2"/>
    <w:rsid w:val="00D84D15"/>
    <w:rsid w:val="00D935B9"/>
    <w:rsid w:val="00DB001C"/>
    <w:rsid w:val="00DC22A5"/>
    <w:rsid w:val="00DC2803"/>
    <w:rsid w:val="00DC6B74"/>
    <w:rsid w:val="00DD2465"/>
    <w:rsid w:val="00DD3041"/>
    <w:rsid w:val="00DD3B16"/>
    <w:rsid w:val="00DD4074"/>
    <w:rsid w:val="00DD55D6"/>
    <w:rsid w:val="00DD7FC8"/>
    <w:rsid w:val="00DE6F40"/>
    <w:rsid w:val="00E04213"/>
    <w:rsid w:val="00E25809"/>
    <w:rsid w:val="00E26DC1"/>
    <w:rsid w:val="00E31CB3"/>
    <w:rsid w:val="00E3292D"/>
    <w:rsid w:val="00E36754"/>
    <w:rsid w:val="00E44433"/>
    <w:rsid w:val="00E44EE8"/>
    <w:rsid w:val="00E51552"/>
    <w:rsid w:val="00E52EDC"/>
    <w:rsid w:val="00E55045"/>
    <w:rsid w:val="00E55385"/>
    <w:rsid w:val="00E664B3"/>
    <w:rsid w:val="00E671AD"/>
    <w:rsid w:val="00E82D16"/>
    <w:rsid w:val="00E83C1A"/>
    <w:rsid w:val="00E865B7"/>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1BC2"/>
    <w:rsid w:val="00EF53CE"/>
    <w:rsid w:val="00F01A49"/>
    <w:rsid w:val="00F06804"/>
    <w:rsid w:val="00F07B5E"/>
    <w:rsid w:val="00F10E9E"/>
    <w:rsid w:val="00F21C6D"/>
    <w:rsid w:val="00F258F9"/>
    <w:rsid w:val="00F30DDA"/>
    <w:rsid w:val="00F44C88"/>
    <w:rsid w:val="00F46A9E"/>
    <w:rsid w:val="00F555CE"/>
    <w:rsid w:val="00F63D9E"/>
    <w:rsid w:val="00F70126"/>
    <w:rsid w:val="00F72C6F"/>
    <w:rsid w:val="00F76B7C"/>
    <w:rsid w:val="00F83B86"/>
    <w:rsid w:val="00F8638C"/>
    <w:rsid w:val="00F8768F"/>
    <w:rsid w:val="00FA03AB"/>
    <w:rsid w:val="00FB0784"/>
    <w:rsid w:val="00FB4A23"/>
    <w:rsid w:val="00FB7B3C"/>
    <w:rsid w:val="00FC0F1B"/>
    <w:rsid w:val="00FC3C75"/>
    <w:rsid w:val="00FD240A"/>
    <w:rsid w:val="00FD4766"/>
    <w:rsid w:val="00FE4900"/>
    <w:rsid w:val="00FF0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13429">
      <w:bodyDiv w:val="1"/>
      <w:marLeft w:val="0"/>
      <w:marRight w:val="0"/>
      <w:marTop w:val="0"/>
      <w:marBottom w:val="0"/>
      <w:divBdr>
        <w:top w:val="none" w:sz="0" w:space="0" w:color="auto"/>
        <w:left w:val="none" w:sz="0" w:space="0" w:color="auto"/>
        <w:bottom w:val="none" w:sz="0" w:space="0" w:color="auto"/>
        <w:right w:val="none" w:sz="0" w:space="0" w:color="auto"/>
      </w:divBdr>
      <w:divsChild>
        <w:div w:id="2001960335">
          <w:marLeft w:val="0"/>
          <w:marRight w:val="0"/>
          <w:marTop w:val="0"/>
          <w:marBottom w:val="0"/>
          <w:divBdr>
            <w:top w:val="none" w:sz="0" w:space="0" w:color="auto"/>
            <w:left w:val="none" w:sz="0" w:space="0" w:color="auto"/>
            <w:bottom w:val="none" w:sz="0" w:space="0" w:color="auto"/>
            <w:right w:val="none" w:sz="0" w:space="0" w:color="auto"/>
          </w:divBdr>
        </w:div>
      </w:divsChild>
    </w:div>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72313459">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4568770">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4420</TotalTime>
  <Pages>4</Pages>
  <Words>601</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103</cp:revision>
  <cp:lastPrinted>2008-05-31T10:14:00Z</cp:lastPrinted>
  <dcterms:created xsi:type="dcterms:W3CDTF">2022-10-17T08:46:00Z</dcterms:created>
  <dcterms:modified xsi:type="dcterms:W3CDTF">2024-11-13T06:37:00Z</dcterms:modified>
</cp:coreProperties>
</file>