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VII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 Указания за провеждане на заниманията; развитие на обща аеробна издръжливост.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Кръгова тренировка за основните мускулни групи, изпълнявани в антагонистичен ред с работно съпротивление 50 – 70 % от максималното.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Кръгова тренировка за основните мускулни групи, изпълнявани в антагонистичен ред с работно съпротивление 50 – 70 % от максималното.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Волейбол: учебна игра със състезателен характер; съдийстване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Волейбол: учебна игра със състезателен характер; съдийстване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Баскетбол 3 на 3: усъвършенстване на технико-тактическите похвати; учебна игра 3 на 3 – отборни взаимодействия в нападение и защита; учебно-състезателна игра 3 на 3.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Баскетбол 3 на 3: усъвършенстване на отборните действия в защита и нападение; учебно-състезателна игра 3 на 3 на турнирен принцип.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Бадминтон: изпълнение на атакуващ сервис; упражнения на смач от задно поле, взаимодействие по двойки; техника на придвижване по корта при смесени двойки; усъвършенстване посрещането на смачови удари; учебно-състезателна игра на смесени двойки.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Бадминтон: тактика на играта на смесени двойки; комбинирани упражнения за видове удари; учебно-състезателна игра на смесени двойки.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Тенис на маса: учебна игра на точки с преподавател или избран противник;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Тенис на маса: игра по двойки на турнирен принцип, съдийстване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Усъвършенстване на технически елементи във футзал в комплекс от упражнения с технико-тактически характер (съчетани със стрелба във вратата и активна намеса на защитата); двустранна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Усъвършенстване на заучени технико-тактически елементи от футзал в нападение в двустранна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Контролно – изпитни нормативи; упражнения за гъвкавост.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VII"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Стоилов, Ив., М. Мадански, Футзал – техника, тактика, тренировъчна методика, НСА Прес,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