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09.12.2024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Иконометричен анализ на динамични редове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ФСО-КСПМ-М-335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ФСО-КСПМ-М-335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тестове и решаване на задачи.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Обучението по дисциплината „Иконометричен анализ на динамични редове“ цели да предостави на студентите знания за теоретичните основи на иконометричния анализ на динамика, за различните типове модели, техните основни характеристики, практическа приложимост, оценяване, диагностика и тълкуване на резултатите. В процеса на усвояване на материята обучаваните ще придобият умения за идентификация на закономерностите в развитието на икономическите процеси, подбора на адекватни модели за представянето на тенденциите и колебанията, спецификацията и апробирането им и използването им за целите на прогнозирането и управлението на процесите в икономиката и социалната сфера.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Усвояването на теоретичните концепции и практическите умения за иконометричен анализ на динамични редове предполага наличието на базови и разширени знания в областта на математиката, икономиката, статистиката и иконометрията. Математическата подготовка обхваща висша математика, математически анализ, работа с детерминанти и матрици, векторно смятане, линейно и нелинейно оптимизиране, диференциални уравнения и интегрално смятане. Статистическите знания включват областта на теорията на вероятностите, статистическите величини, емпиричните и теоретични разпределения на случайни величини, теорията на статистическите заключения, регресионен, корелационен и дисперсионен анализ, анализ на динамика, а иконометричните знания и умения са свързани с видовете, свойствата и приложението на моделите, за етапите на иконометричното моделиране и методите за диагностика и оценка. Допълнителни знания и умения , свързани с приложението на ИКТ и специализиран иконометричен софтуер могат в значителна степен да подпомогнат процеса на обучение.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работа със студентите се използва съчетание на класически и иновативни методи за обучение. Изнасянето на лекции, провеждането на беседи и дискусии се комбинира с работа с реални данни за динамичните процеси в българската икономика или в световен мащаб. Наличието на достъп до интернет и персонални компютри позволява да се използват базите данни с икономическа информация на националните статистически органи и на международни организации. Идентификацията, спецификацията и оценката на иконометричните динамични модели се извършва под наблюдението на преподавателите със специализиран иконометричен софтуер и MS Excel, а представянето на резултатите – в екипна и дискусионна среда.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лекции, участие в консултации, участие във форумите и чат-групите, лични контакти по телефон или e-mail. На студентите в дистанционна форма на обучение се предоставя подробно описание за изтегляне, инсталиране и практическа работа със специализиран иконометричен софтуер. Чрез комуникация с преподавателите се реализира процеса на „обучение чрез правене“, като студентите се подпомагат да извличат реални данни за икономическите процеси от Интернет, насочват при идентификация и оценка на динамичните модели, поощряват да работят самостоятелно и в екипи, за да споделят знания и умения по между си.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успешното приключване на обучението в дисциплината, студентите ще усвоят знания за принципите и теоретичните постановки на иконометричния анализ на динамика, за методите, моделите и тяхната приложимост, за наличните информационни източници в глобалната мрежа. Практическата работа и изпълнението на поставените задания ще подпомогне развитието на умения за идентификация на проблем, избор на адекватен модел и данни, решаването и апробирането на иконометричните модели, извеждането на резултати и препоръки за управлението на икономическите процеси. Допълнително ще се развият меките умения на студентите, критичното мислене, работата в екип, умението да се представят резултатите от извършен анализ, да формулират, аргументират и защитават своите тези пред аудитория.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Introduction to Time-Series Econometrics, University of Kent, UK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Applied time series econometrics, Norwegian University of Science and Technology, Norway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Time Series Econometrics, Uppsala University, Sweden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Time Series Econometrics, American University in Bulgaria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Многомерни динамични редове – основни понятия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Въведение в многомерните времеви редове
</w:t>
              <w:br/>
              <w:t xml:space="preserve">2. Стационарност, линейност, обратимост
</w:t>
              <w:br/>
              <w:t xml:space="preserve">3. Крос-ковариация и корелация
</w:t>
              <w:br/>
              <w:t xml:space="preserve">4. Прогнозиране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Многомерни авторегресионни модели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VAR (1) Модели
</w:t>
              <w:br/>
              <w:t xml:space="preserve">2. VAR (p) Модели
</w:t>
              <w:br/>
              <w:t xml:space="preserve">3. Избор на порядък и спецификация на модела
</w:t>
              <w:br/>
              <w:t xml:space="preserve">4. Оценка, диагностика и прогнозиране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Многомерни модели на плъзгащи се средни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VMA (1) Модели
</w:t>
              <w:br/>
              <w:t xml:space="preserve">2. VMA (q) модели
</w:t>
              <w:br/>
              <w:t xml:space="preserve">3. Избор на порядък и спецификация на модела
</w:t>
              <w:br/>
              <w:t xml:space="preserve">4. Оценка, диагностика и прогнозиране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Многомерни смесени модели на авторегресия и плъзгащи се средни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Модели VARMA (1,1).
</w:t>
              <w:br/>
              <w:t xml:space="preserve">2. Идентификация и избор на порядък
</w:t>
              <w:br/>
              <w:t xml:space="preserve">3. Последици, причинност и импулсна реакция
</w:t>
              <w:br/>
              <w:t xml:space="preserve">4. Оценка, диагностика и прогнозиране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Многомерни единични корени и коинтеграция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Многомерни единични корени
</w:t>
              <w:br/>
              <w:t xml:space="preserve">2. Коинтеграция
</w:t>
              <w:br/>
              <w:t xml:space="preserve">3. Модел с корекция на грешката
</w:t>
              <w:br/>
              <w:t xml:space="preserve">4. Тестване и оценка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Модели на трансферни функции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Принципи на трансферните функции
</w:t>
              <w:br/>
              <w:t xml:space="preserve">2. Крос-корелационна функция
</w:t>
              <w:br/>
              <w:t xml:space="preserve">3. Спецификация на модела
</w:t>
              <w:br/>
              <w:t xml:space="preserve">4. Оценка, диагностика и прогнозиране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Факторни модели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Сезонни модели
</w:t>
              <w:br/>
              <w:t xml:space="preserve">2. Анализ на основните компоненти
</w:t>
              <w:br/>
              <w:t xml:space="preserve">3. Типове факторни модели
</w:t>
              <w:br/>
              <w:t xml:space="preserve">4. Класификация и клъстериране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Модели на неустойчивост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Условна хетероскедастичност
</w:t>
              <w:br/>
              <w:t xml:space="preserve">2. Оценка и диагностика
</w:t>
              <w:br/>
              <w:t xml:space="preserve">3. Модели BEKK
</w:t>
              <w:br/>
              <w:t xml:space="preserve">4. DCC модели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Gretl for Windows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Иванов, Л., Овчинников, Е. (2025). Иконометричен анализ на динамични редове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"Иконометричен анализ на динамични редове"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Иванов, Л., Шопова, М., Касабова, С. (2017) Статистическо изследване и прогнозиране на развитието,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Петков, П. (2010). Иконометрия с Gretl и MS Excel.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Linton, O. (2024). Time Series for Economics and Finance. University of Cambridge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Oyibo, P., Anzian, K., Djeban, K. (2023). Guide to Applied Time Series Econometrics. Volume 1. Our Knowledge Publishing.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John D. Levendis, 2023. "Time Series Econometrics," Springer Texts in Business and Economics, Springer, edition 2, number 978-3-031-37310-7, December.</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Иванов, Л. (2009). Моделиране и прогнозиране на временни редове – статистически аспекти.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Иванов, Л. (2008). Статистическо изследване и прогнозиране на развитието. Свищов: АИ “Ценов”</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https://www.imf.org/en/Data</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https://www.worldbank.org/ext/en/home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https://www.oecd.org/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Lyubomir Ivanov,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Head Assist.Prof. Evgeni Ovchinnikov,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