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СТОПАНСКА ОТЧЕТНОСТ</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СТАТИСТИКА И ПРИЛОЖНА МАТЕМАТИКА</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проф. д-р Атанас Атанасов</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1</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14.09.2022</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1</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07.09.2022</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6BC538DA" w14:textId="77777777" w:rsidR="00DD3041" w:rsidRPr="00C10B36" w:rsidRDefault="00DD3041" w:rsidP="00DD3041">
            <w:pPr>
              <w:jc w:val="center"/>
              <w:rPr>
                <w:rFonts w:ascii="Times New Roman" w:hAnsi="Times New Roman"/>
                <w:b/>
                <w:sz w:val="24"/>
                <w:szCs w:val="24"/>
                <w:lang w:val="bg-BG"/>
              </w:rPr>
            </w:pPr>
          </w:p>
          <w:p w14:paraId="082305CD" w14:textId="77777777" w:rsidR="00A34223" w:rsidRPr="00C10B36" w:rsidRDefault="00A34223"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Иконометрично моделиране с Gretl </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ФСО-КСПМ-М-322</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6</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0C2D48BC" w14:textId="77777777" w:rsidR="00845130" w:rsidRPr="00C10B36" w:rsidRDefault="00845130" w:rsidP="00DD3041">
            <w:pPr>
              <w:rPr>
                <w:rFonts w:ascii="Times New Roman" w:hAnsi="Times New Roman"/>
                <w:sz w:val="24"/>
                <w:szCs w:val="24"/>
                <w:lang w:val="bg-BG"/>
              </w:rPr>
            </w:pPr>
          </w:p>
          <w:p w14:paraId="404C0DC4" w14:textId="77777777" w:rsidR="00845130" w:rsidRPr="00C10B36" w:rsidRDefault="00845130" w:rsidP="00DD3041">
            <w:pPr>
              <w:rPr>
                <w:rFonts w:ascii="Times New Roman" w:hAnsi="Times New Roman"/>
                <w:sz w:val="24"/>
                <w:szCs w:val="24"/>
                <w:lang w:val="bg-BG"/>
              </w:rPr>
            </w:pPr>
          </w:p>
          <w:p w14:paraId="40B8FE41" w14:textId="77777777" w:rsidR="00845130" w:rsidRPr="00D00320" w:rsidRDefault="00845130" w:rsidP="00DD3041">
            <w:pPr>
              <w:rPr>
                <w:rFonts w:ascii="Times New Roman" w:hAnsi="Times New Roman"/>
                <w:sz w:val="24"/>
                <w:szCs w:val="24"/>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67FD77D3" w14:textId="77777777" w:rsidR="00A34223" w:rsidRPr="00C10B36" w:rsidRDefault="00A34223" w:rsidP="00DD3041">
            <w:pPr>
              <w:rPr>
                <w:rFonts w:ascii="Times New Roman" w:hAnsi="Times New Roman"/>
                <w:sz w:val="24"/>
                <w:szCs w:val="24"/>
                <w:lang w:val="bg-BG"/>
              </w:rPr>
            </w:pPr>
          </w:p>
          <w:p w14:paraId="01EAB6F1" w14:textId="77777777" w:rsidR="00A34223" w:rsidRPr="00C10B36" w:rsidRDefault="00A34223"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МАГИСТЪР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ФСО-КСПМ-М-322</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БЪЛГАРСКИ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v.01/2022</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14</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/аудиторна и извънаудиторна/</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56</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28</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56</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42</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21</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42</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7</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14</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2. Извънаудиторна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94</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122</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94</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47</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61</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47</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47</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61</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47</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33</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47</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33</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14</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14</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14</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150</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16B32ED3" w:rsidR="00C32E02" w:rsidRPr="00AB7A25" w:rsidRDefault="00CF40F4" w:rsidP="006A52F9">
      <w:pPr>
        <w:overflowPunct/>
        <w:autoSpaceDE/>
        <w:autoSpaceDN/>
        <w:adjustRightInd/>
        <w:textAlignment w:val="auto"/>
        <w:rPr>
          <w:rFonts w:ascii="Times New Roman" w:hAnsi="Times New Roman"/>
          <w:b/>
          <w:sz w:val="28"/>
          <w:szCs w:val="24"/>
        </w:rPr>
      </w:pPr>
      <w:r>
        <w:rPr>
          <w:rFonts w:ascii="Times New Roman" w:hAnsi="Times New Roman"/>
          <w:b/>
          <w:sz w:val="28"/>
          <w:szCs w:val="24"/>
          <w:lang w:val="bg-BG"/>
        </w:rPr>
        <w:br w:type="page"/>
      </w: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lastRenderedPageBreak/>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60%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60%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60%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10%</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10%</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30%</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30%</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30%</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20%</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20%</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20%</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Поливариантни тестови въпроси и решаване на задачи.</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40%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40%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40%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Дисциплината „Иконометрично моделиране с Gretl“ е включена в учебния план на специалност „Бизнес анализ на данни със специализиран софтуер (съвместна програма)“, която се реализира съвместно с Университета за национално и световно стопанство – София в рамките на проект BG05M2OP001-2.016-0004-C01 „Икономическото образование в България 2030“, финансиран по ОП „Наука и образование за интелигентен растеж“, съфинансиран от Европейския съюз чрез Европейските структурни и инвестиционни фондове. Целта на обучението по дисциплината „Статистическо и иконометрично софтуерно осигуряване“  е студентите да придобият задълбочени знания, умения и навици за използване на специализирани статистически и иконометрични софтуерни продукти при организирането и провеждането на емпирични изследвания, при обработването   и анализа на набраната статистическа информация и при коректното осмисляне и интерпретиране на получените резултати.</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Съвременните изисквания към качеството на икономическото образование предполагат  обучаваните да имат сериозни математически и статистически знания, необходими при решаването на задачите, свързани с използването на моделирането и количествения анализ на икономическите процеси. Математическата подготовка обхваща математическият анализ, методите на линейното и нелинейното оптимизиране, използването на логаритмични  и показателни функции, умението да се  работи с формули, уравнения и графики. Статистическата подготовка изисква знания за статистическите разпределения, за измерването на основните статистически параметри – средното значение, стандартното отклонение, коефициентите на корелация, методите на регресионния, корелационния, дисперсионния, факторния и дискриминантния анализ и условията за тяхното приложение. Основните знания за работа с изброените методи обикновено са достатъчни, но съвременните икономически изследвания изискват по-високо ниво на владеене както на  математиката и  статистиката, така и на икономическата теория и иконометричните софтуерни продукти.</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При обучението на студентите се използва дигитално учебно съдържание, за усвояването на което се прилагат различни традиционни и дигитални методи на обучение и оценяване на придобитите знания и умения (традиционни и видео лекции, казуси, симулации, ролеви игри, дебати, дискусии, демонстрации, мозъчни атаки, директни инструкции, кооперативно учене, независими и групови проекти, учене чрез  преживяване, дигитални инструменти, интерактивни методи на преподаване). Учебните занятия се провеждат както във вид на традиционни лекции чрез използване на съвременни технически средства за презентация (интерактивни дъски и екрани, холограмни проектори, устройства за виртуална реалност и др.), така и във вид на синхронни лекции и семинарни занятия във виртуални класни стаи.</w:t>
      </w:r>
    </w:p>
    <w:p w14:paraId="3EFBF371" w14:textId="5BCB3AD9" w:rsidR="006D3B5D" w:rsidRDefault="006D3B5D" w:rsidP="00BA4B91">
      <w:pPr>
        <w:ind w:firstLine="709"/>
        <w:jc w:val="both"/>
        <w:rPr>
          <w:rFonts w:ascii="Times New Roman" w:hAnsi="Times New Roman"/>
        </w:rPr>
      </w:pPr>
      <w:r>
        <w:rPr>
          <w:rFonts w:ascii="Times New Roman" w:hAnsi="Times New Roman"/>
        </w:rPr>
        <w:t>Записите на занятията и дигиталните обучителни ресурси се съхраняват в облачно базирани библиотеки с учебни материали, което дава възможност за асинхронен достъп до тези ресурси в удобно за обучаемите време.</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lastRenderedPageBreak/>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Обучението на студентите се осъществява с помощта на online лекции, участие в консултации, участие във форумите и чат-групите, лични контакти по телефон или e-mail. На студентите в дистанционна форма на обучение се предоставя подробно описание за изтегляне, инсталиране и  практическа работа със специализирания иконометричен софтуер Gretl, който се разпространява свободно. С помощта на реални данни, набавени от различни информационни източници в интернет, се извършва апробиране на представените в дисциплината специфични иконометрични модели.</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След завършване на обучението студентите ще могат да използват различни информационни системи за набавяне на реални макроикономически данни за отделните страни, да прилагат специализиран софтуерен продукт за анализ на набраните данни с помощта на подходящи иконометрични модели и  да интерпретират адекватно получените резултати. След усвояването на представените съвременни методи за иконометрична оценка и анализ на икономически явления и процеси, наложили се в българската и в международната статистическа практика, студентите ще придобият знания, умения и навици за: основите на иконометричното моделиране; количествено оценяване, анализиране и прогнозиране на стопанската дейност; решаване на широк кръг практически задачи при анализиране, планиране, регулиране и прогнозиране на икономическите дейности на макро-, мезо- и микро-равнище.</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1. Дисциплина: ECONOMETRICS PAE; Университет: Czech University of Life Science,  Чешка република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2. Дисциплина: STATISTICS AND ECONOMETRICS I, STATISTICS AND ECONOMETRICS II; Университет: University of Cyprus, Кипър</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3. Дисциплина: ECONOMETRICS – METHODS AND APPLICATION; Университет: University of Rennes, Франция</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4. Дисциплина: ECONOMETRICS; Университет: Athens University of Economics and Business, Гърция</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${temi#1}</w:t>
            </w:r>
            <w:r>
              <w:rPr>
                <w:rFonts w:ascii="Times New Roman" w:hAnsi="Times New Roman"/>
                <w:b/>
                <w:sz w:val="24"/>
                <w:szCs w:val="24"/>
              </w:rPr>
              <w:t>Тема I. Икономически и иконометрични модели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1</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1</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Общо понятие за модел</w:t>
              <w:br/>
              <w:t xml:space="preserve">2. Икономически модели</w:t>
              <w:br/>
              <w:t xml:space="preserve">3. Иконометрични модели</w:t>
              <w:br/>
              <w:t xml:space="preserve">4. Елементи и свойства на иконометричните модели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${temi#2}</w:t>
            </w:r>
            <w:r>
              <w:rPr>
                <w:rFonts w:ascii="Times New Roman" w:hAnsi="Times New Roman"/>
                <w:b/>
                <w:sz w:val="24"/>
                <w:szCs w:val="24"/>
              </w:rPr>
              <w:t>Тема II. Иконометрични модели за производствената функция</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Особености при иконометричния анализ на производствената функция</w:t>
              <w:br/>
              <w:t xml:space="preserve">2. Основни иконометрични модели за анализ на производствената функция</w:t>
              <w:br/>
              <w:t xml:space="preserve">3. Иконометрична оценка на производствените функции с помощта на трансцедентната логаритмичната (транслог) апроксимация</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${temi#3}</w:t>
            </w:r>
            <w:r>
              <w:rPr>
                <w:rFonts w:ascii="Times New Roman" w:hAnsi="Times New Roman"/>
                <w:b/>
                <w:sz w:val="24"/>
                <w:szCs w:val="24"/>
              </w:rPr>
              <w:t>Тема III. Иконометрични модели за търсенето, потреблението и предлагането</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5</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5</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Иконометричен анализ на търсенето</w:t>
              <w:br/>
              <w:t xml:space="preserve">2. Иконометричен анализ на потреблението</w:t>
              <w:br/>
              <w:t xml:space="preserve">3. Иконометричен анализ на предлагането</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${temi#4}</w:t>
            </w:r>
            <w:r>
              <w:rPr>
                <w:rFonts w:ascii="Times New Roman" w:hAnsi="Times New Roman"/>
                <w:b/>
                <w:sz w:val="24"/>
                <w:szCs w:val="24"/>
              </w:rPr>
              <w:t>Тема IV. Иконометрични модели за външната търговия</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5</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5</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Основни понятия при изследване на външната търговия</w:t>
              <w:br/>
              <w:t xml:space="preserve">2. Иконометрични модели за вноса</w:t>
              <w:br/>
              <w:t xml:space="preserve">3. Иконометрични модели за износа</w:t>
              <w:br/>
              <w:t xml:space="preserve">4. Иконометрични модели  за търговския баланс</w:t>
              <w:br/>
              <w:t xml:space="preserve">5. Иконометрични динамични модели на външната търговия</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${temi#5}</w:t>
            </w:r>
            <w:r>
              <w:rPr>
                <w:rFonts w:ascii="Times New Roman" w:hAnsi="Times New Roman"/>
                <w:b/>
                <w:sz w:val="24"/>
                <w:szCs w:val="24"/>
              </w:rPr>
              <w:t>Тема V. Финансови иконометрични модели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Обща характеристика на финансовите иконометрични модели</w:t>
              <w:br/>
              <w:t xml:space="preserve">2. Иконометрични модели, основани на хипотезите за случайно блуждаене</w:t>
              <w:br/>
              <w:t xml:space="preserve">3. Иконометричен модел за оценка на финансовите активи</w:t>
              <w:br/>
              <w:t xml:space="preserve">4. Динамични модели на финансови показатели с нелинейна структура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${temi#6}</w:t>
            </w:r>
            <w:r>
              <w:rPr>
                <w:rFonts w:ascii="Times New Roman" w:hAnsi="Times New Roman"/>
                <w:b/>
                <w:sz w:val="24"/>
                <w:szCs w:val="24"/>
              </w:rPr>
              <w:t>Тема VI. Иконометрични модели за работната заплата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5</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5</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Измерване на инфлацията</w:t>
              <w:br/>
              <w:t xml:space="preserve">2. Моделиране на динамиката на потребителските цени и инфлацията</w:t>
              <w:br/>
              <w:t xml:space="preserve">3. Иконометрични модели на цените и работните заплати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${temi#7}</w:t>
            </w:r>
            <w:r>
              <w:rPr>
                <w:rFonts w:ascii="Times New Roman" w:hAnsi="Times New Roman"/>
                <w:b/>
                <w:sz w:val="24"/>
                <w:szCs w:val="24"/>
              </w:rPr>
              <w:t>Тема VII. Иконометрични модели за инвестициите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Обща постановка на инвестиционната функция</w:t>
              <w:br/>
              <w:t xml:space="preserve">2. Определяне на желания размер на основния капитал</w:t>
              <w:br/>
              <w:t xml:space="preserve">3. Определян на инвестициите, необходими за възстановяване</w:t>
              <w:br/>
              <w:t xml:space="preserve">4. Определяне теглата на инвестиционната функция</w:t>
              <w:br/>
              <w:t xml:space="preserve">5. Източници на информация за инвестициите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${temi#8}</w:t>
            </w:r>
            <w:r>
              <w:rPr>
                <w:rFonts w:ascii="Times New Roman" w:hAnsi="Times New Roman"/>
                <w:b/>
                <w:sz w:val="24"/>
                <w:szCs w:val="24"/>
              </w:rPr>
              <w:t>Тема VIII. Комплексни иконометрични модели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1</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1</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Същност на комплексните модели</w:t>
              <w:br/>
              <w:t xml:space="preserve">2. Иконометрична оценка на система от едновременни уравнения</w:t>
              <w:br/>
              <w:t xml:space="preserve">3. Идентификация на система от едновременни уравнения</w:t>
              <w:br/>
              <w:t xml:space="preserve">4. Методи за измерване параметрите на система от едновременни</w:t>
              <w:br/>
              <w:t xml:space="preserve">уравнения</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hidden/>
        </w:trPr>
        <w:tc>
          <w:tcPr>
            <w:tcW w:w="4820" w:type="dxa"/>
            <w:shd w:val="clear" w:color="auto" w:fill="D9D9D9"/>
          </w:tcPr>
          <w:p w14:paraId="2BD39866" w14:textId="1750D4EF" w:rsidR="00A56E5C" w:rsidRPr="002F782E" w:rsidRDefault="002F782E" w:rsidP="00795473">
            <w:pPr>
              <w:spacing w:line="240" w:lineRule="atLeast"/>
              <w:jc w:val="right"/>
              <w:rPr>
                <w:rFonts w:ascii="Times New Roman" w:hAnsi="Times New Roman"/>
                <w:b/>
                <w:color w:val="232323"/>
                <w:spacing w:val="-17"/>
                <w:sz w:val="28"/>
                <w:szCs w:val="28"/>
              </w:rPr>
            </w:pPr>
            <w:r w:rsidRPr="003D31E5">
              <w:rPr>
                <w:rFonts w:ascii="Times New Roman" w:hAnsi="Times New Roman"/>
                <w:b/>
                <w:vanish/>
                <w:color w:val="232323"/>
                <w:spacing w:val="-17"/>
                <w:sz w:val="28"/>
                <w:szCs w:val="28"/>
              </w:rPr>
              <w:t>${temi_sum#1}</w:t>
            </w: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42</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21</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7</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42</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14</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bookmarkStart w:id="0" w:name="_GoBack"/>
      <w:bookmarkEnd w:id="0"/>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1</w:t>
            </w:r>
            <w:r w:rsidR="00275D25">
              <w:rPr>
                <w:rFonts w:ascii="Times New Roman" w:hAnsi="Times New Roman"/>
                <w:sz w:val="24"/>
                <w:szCs w:val="24"/>
              </w:rPr>
              <w:t xml:space="preserve"> </w:t>
            </w:r>
            <w:r w:rsidR="00261DFD">
              <w:rPr>
                <w:rFonts w:ascii="Times New Roman" w:hAnsi="Times New Roman"/>
                <w:sz w:val="24"/>
                <w:szCs w:val="24"/>
              </w:rPr>
              <w:t> Gretl for Windows</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2</w:t>
            </w:r>
            <w:r w:rsidR="00275D25">
              <w:rPr>
                <w:rFonts w:ascii="Times New Roman" w:hAnsi="Times New Roman"/>
                <w:sz w:val="24"/>
                <w:szCs w:val="24"/>
              </w:rPr>
              <w:t xml:space="preserve"> </w:t>
            </w:r>
            <w:r w:rsidR="00261DFD">
              <w:rPr>
                <w:rFonts w:ascii="Times New Roman" w:hAnsi="Times New Roman"/>
                <w:sz w:val="24"/>
                <w:szCs w:val="24"/>
              </w:rPr>
              <w:t> MS Excel</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3</w:t>
            </w:r>
            <w:r w:rsidR="00275D25">
              <w:rPr>
                <w:rFonts w:ascii="Times New Roman" w:hAnsi="Times New Roman"/>
                <w:sz w:val="24"/>
                <w:szCs w:val="24"/>
              </w:rPr>
              <w:t xml:space="preserve"> </w:t>
            </w:r>
            <w:r w:rsidR="00261DFD">
              <w:rPr>
                <w:rFonts w:ascii="Times New Roman" w:hAnsi="Times New Roman"/>
                <w:sz w:val="24"/>
                <w:szCs w:val="24"/>
              </w:rPr>
              <w:t> MS Power Point</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lastRenderedPageBreak/>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Учебен курс в Платформата за дистанционно и електронно обучение на СА “Д. А. Ценов“</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2. </w:t>
            </w:r>
            <w:r w:rsidR="007C6374">
              <w:rPr>
                <w:rFonts w:ascii="Times New Roman" w:hAnsi="Times New Roman"/>
                <w:bCs/>
                <w:color w:val="222222"/>
                <w:spacing w:val="-7"/>
                <w:sz w:val="24"/>
                <w:szCs w:val="24"/>
              </w:rPr>
              <w:t>Петков, Пл., Иванов, Л. (2021). Иконометрични модели - учебно пособие за бакалавърско обучение. Свищов, АИ "Ценов",</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3. </w:t>
            </w:r>
            <w:r w:rsidR="007C6374">
              <w:rPr>
                <w:rFonts w:ascii="Times New Roman" w:hAnsi="Times New Roman"/>
                <w:bCs/>
                <w:color w:val="222222"/>
                <w:spacing w:val="-7"/>
                <w:sz w:val="24"/>
                <w:szCs w:val="24"/>
              </w:rPr>
              <w:t>Петков, Пл. (2020). Иконометрия с Gretl. Свищов, АИ „Ценов”.</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4. </w:t>
            </w:r>
            <w:r w:rsidR="007C6374">
              <w:rPr>
                <w:rFonts w:ascii="Times New Roman" w:hAnsi="Times New Roman"/>
                <w:bCs/>
                <w:color w:val="222222"/>
                <w:spacing w:val="-7"/>
                <w:sz w:val="24"/>
                <w:szCs w:val="24"/>
              </w:rPr>
              <w:t>Петков, Пл. (2009). Иконометрични методи за анализ на агрегираната производствена функция – сравнителен анализ. Свищов, АИ "Ценов", Библиотека „Стопански свят”, бр. 102.</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5. </w:t>
            </w:r>
            <w:r w:rsidR="007C6374">
              <w:rPr>
                <w:rFonts w:ascii="Times New Roman" w:hAnsi="Times New Roman"/>
                <w:bCs/>
                <w:color w:val="222222"/>
                <w:spacing w:val="-7"/>
                <w:sz w:val="24"/>
                <w:szCs w:val="24"/>
              </w:rPr>
              <w:t>Иванов, Л., Касабова, Ст., Шопова, М. (2017). Статистическо изучаване на прогнозиране и развитие. Свищов, АИ "Ценов".</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Ангелова, П. (2017). Основи на статистиката. Свищов, АИ "Ценов".</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Славева, К. (2020). Икономическа статистика - учебно пособие за дистанционно обучение магистри. Свищов, АИ "Ценов".</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Закон за статистиката. Обн., ДВ, бр. 57 от 25.06.1999 г., посл. изм., бр. 38 от 24.04.2020 г., в сила от 01.01.2022 г.</w:t>
            </w:r>
          </w:p>
        </w:tc>
      </w:tr>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www.bnb.bg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www.bnb.bg</w:t>
            </w:r>
          </w:p>
        </w:tc>
      </w:tr>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579503B5" w:rsidR="000976B6" w:rsidRPr="00C10B36" w:rsidRDefault="000976B6" w:rsidP="00447CA9">
            <w:pPr>
              <w:spacing w:line="240" w:lineRule="atLeast"/>
              <w:jc w:val="right"/>
              <w:rPr>
                <w:rFonts w:ascii="Times New Roman" w:hAnsi="Times New Roman"/>
                <w:bCs/>
                <w:color w:val="222222"/>
                <w:sz w:val="24"/>
                <w:szCs w:val="24"/>
              </w:rPr>
            </w:pPr>
            <w:r w:rsidRPr="00E44EE8">
              <w:rPr>
                <w:rFonts w:ascii="Times New Roman" w:hAnsi="Times New Roman"/>
                <w:bCs/>
                <w:vanish/>
                <w:color w:val="222222"/>
                <w:sz w:val="24"/>
                <w:szCs w:val="24"/>
              </w:rPr>
              <w:t>${authors#1}</w:t>
            </w:r>
            <w:r w:rsidRPr="00C10B36">
              <w:rPr>
                <w:rFonts w:ascii="Times New Roman" w:hAnsi="Times New Roman"/>
                <w:bCs/>
                <w:color w:val="222222"/>
                <w:sz w:val="24"/>
                <w:szCs w:val="24"/>
              </w:rPr>
              <w:t>(</w:t>
            </w:r>
            <w:r>
              <w:rPr>
                <w:rFonts w:ascii="Times New Roman" w:hAnsi="Times New Roman"/>
                <w:bCs/>
                <w:color w:val="222222"/>
                <w:sz w:val="24"/>
                <w:szCs w:val="24"/>
              </w:rPr>
              <w:t>доц. д-р Пламен Петков)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доц. д-р Пламен Петков</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7F9F29" w14:textId="77777777" w:rsidR="00726579" w:rsidRDefault="00726579">
      <w:r>
        <w:separator/>
      </w:r>
    </w:p>
  </w:endnote>
  <w:endnote w:type="continuationSeparator" w:id="0">
    <w:p w14:paraId="51D07832" w14:textId="77777777" w:rsidR="00726579" w:rsidRDefault="007265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DB5245" w14:textId="77777777" w:rsidR="005E448E" w:rsidRPr="00C32E02" w:rsidRDefault="005E448E" w:rsidP="00CA1B74">
    <w:pPr>
      <w:pStyle w:val="Footer"/>
      <w:framePr w:wrap="around" w:vAnchor="text" w:hAnchor="margin" w:xAlign="right" w:y="1"/>
      <w:rPr>
        <w:rStyle w:val="PageNumber"/>
        <w:rFonts w:ascii="Times New Roman" w:hAnsi="Times New Roman"/>
        <w:sz w:val="20"/>
        <w:lang w:val="ru-RU"/>
      </w:rPr>
    </w:pPr>
    <w:r w:rsidRPr="00C32E02">
      <w:rPr>
        <w:rStyle w:val="PageNumber"/>
        <w:rFonts w:ascii="Times New Roman" w:hAnsi="Times New Roman"/>
        <w:sz w:val="20"/>
      </w:rPr>
      <w:fldChar w:fldCharType="begin"/>
    </w:r>
    <w:r w:rsidRPr="00C32E02">
      <w:rPr>
        <w:rStyle w:val="PageNumber"/>
        <w:rFonts w:ascii="Times New Roman" w:hAnsi="Times New Roman"/>
        <w:sz w:val="20"/>
      </w:rPr>
      <w:instrText xml:space="preserve">PAGE  </w:instrText>
    </w:r>
    <w:r w:rsidRPr="00C32E02">
      <w:rPr>
        <w:rStyle w:val="PageNumber"/>
        <w:rFonts w:ascii="Times New Roman" w:hAnsi="Times New Roman"/>
        <w:sz w:val="20"/>
      </w:rPr>
      <w:fldChar w:fldCharType="separate"/>
    </w:r>
    <w:r w:rsidRPr="00C32E02">
      <w:rPr>
        <w:rStyle w:val="PageNumber"/>
        <w:rFonts w:ascii="Times New Roman" w:hAnsi="Times New Roman"/>
        <w:noProof/>
        <w:sz w:val="20"/>
        <w:lang w:val="ru-RU"/>
      </w:rPr>
      <w:t>5</w:t>
    </w:r>
    <w:r w:rsidRPr="00C32E02">
      <w:rPr>
        <w:rStyle w:val="PageNumber"/>
        <w:rFonts w:ascii="Times New Roman" w:hAnsi="Times New Roman"/>
        <w:sz w:val="20"/>
      </w:rPr>
      <w:fldChar w:fldCharType="end"/>
    </w:r>
  </w:p>
  <w:p w14:paraId="176953BF"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3EBE84E1" w14:textId="77777777" w:rsidR="005E448E" w:rsidRPr="00C32E02" w:rsidRDefault="005E448E" w:rsidP="00C32E02">
    <w:pPr>
      <w:pStyle w:val="Footer"/>
      <w:jc w:val="center"/>
      <w:rPr>
        <w:rFonts w:ascii="Times New Roman" w:hAnsi="Times New Roman"/>
        <w:i/>
        <w:sz w:val="12"/>
        <w:szCs w:val="12"/>
        <w:lang w:val="ru-RU"/>
      </w:rPr>
    </w:pPr>
  </w:p>
  <w:p w14:paraId="2DFC71F3"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„Икономическото образование в България 2030“, финансиран от Оперативна програма „Наука и образование за интелигентен растеж“</w:t>
    </w:r>
    <w:r w:rsidRPr="00C32E02">
      <w:rPr>
        <w:rFonts w:ascii="Times New Roman" w:hAnsi="Times New Roman"/>
        <w:i/>
        <w:sz w:val="20"/>
        <w:lang w:val="bg-BG"/>
      </w:rPr>
      <w:t>,</w:t>
    </w:r>
    <w:r w:rsidRPr="00C32E02">
      <w:rPr>
        <w:rFonts w:ascii="Times New Roman" w:hAnsi="Times New Roman"/>
        <w:i/>
        <w:sz w:val="20"/>
        <w:lang w:val="ru-RU"/>
      </w:rPr>
      <w:t xml:space="preserve"> съфинансирана от Европейския съюз чрез Европейските структурни и инвестиционни фондове.</w:t>
    </w:r>
  </w:p>
  <w:p w14:paraId="5BEFFF66" w14:textId="77777777" w:rsidR="005E448E" w:rsidRPr="00C32E02" w:rsidRDefault="005E448E" w:rsidP="00CA1B74">
    <w:pPr>
      <w:pStyle w:val="Footer"/>
      <w:ind w:right="360"/>
      <w:rPr>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„Икономическото образование в България 2030“, финансиран от Оперативна програма „Наука и образование за интелигентен растеж“</w:t>
    </w:r>
    <w:r w:rsidRPr="00C32E02">
      <w:rPr>
        <w:rFonts w:ascii="Times New Roman" w:hAnsi="Times New Roman"/>
        <w:i/>
        <w:sz w:val="20"/>
        <w:lang w:val="bg-BG"/>
      </w:rPr>
      <w:t>,</w:t>
    </w:r>
    <w:r w:rsidRPr="00C32E02">
      <w:rPr>
        <w:rFonts w:ascii="Times New Roman" w:hAnsi="Times New Roman"/>
        <w:i/>
        <w:sz w:val="20"/>
        <w:lang w:val="ru-RU"/>
      </w:rPr>
      <w:t xml:space="preserve"> съфинансирана от Европейския съюз чрез Европейските структурни и инвестиционни фондове.</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8CF896" w14:textId="77777777" w:rsidR="00726579" w:rsidRDefault="00726579">
      <w:r>
        <w:separator/>
      </w:r>
    </w:p>
  </w:footnote>
  <w:footnote w:type="continuationSeparator" w:id="0">
    <w:p w14:paraId="4A84B4B6" w14:textId="77777777" w:rsidR="00726579" w:rsidRDefault="007265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6CA9D7"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62336" behindDoc="0" locked="0" layoutInCell="1" allowOverlap="1" wp14:anchorId="42C2B881" wp14:editId="432CFBFD">
          <wp:simplePos x="0" y="0"/>
          <wp:positionH relativeFrom="margin">
            <wp:align>right</wp:align>
          </wp:positionH>
          <wp:positionV relativeFrom="paragraph">
            <wp:posOffset>-22225</wp:posOffset>
          </wp:positionV>
          <wp:extent cx="2301240" cy="723900"/>
          <wp:effectExtent l="0" t="0" r="3810" b="0"/>
          <wp:wrapNone/>
          <wp:docPr id="1" name="Picture 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3360" behindDoc="0" locked="0" layoutInCell="1" allowOverlap="1" wp14:anchorId="2FCBEB8F" wp14:editId="3D188DD6">
          <wp:simplePos x="0" y="0"/>
          <wp:positionH relativeFrom="column">
            <wp:posOffset>2540</wp:posOffset>
          </wp:positionH>
          <wp:positionV relativeFrom="paragraph">
            <wp:posOffset>-3175</wp:posOffset>
          </wp:positionV>
          <wp:extent cx="2318385" cy="805815"/>
          <wp:effectExtent l="0" t="0" r="0" b="0"/>
          <wp:wrapNone/>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06BC9ECF"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0D252EDD"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66838895"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5F1BB416"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44D8A8C7"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46CFACA4"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7D86B694" w14:textId="750B6766" w:rsidR="005E448E" w:rsidRDefault="00726579" w:rsidP="00C32E02">
    <w:pPr>
      <w:tabs>
        <w:tab w:val="center" w:pos="4536"/>
        <w:tab w:val="right" w:pos="9072"/>
      </w:tabs>
      <w:jc w:val="center"/>
    </w:pPr>
    <w:r>
      <w:rPr>
        <w:rFonts w:ascii="Monotype Corsiva" w:hAnsi="Monotype Corsiva"/>
        <w:b/>
        <w:sz w:val="24"/>
        <w:szCs w:val="24"/>
        <w:lang w:val="bg-BG"/>
      </w:rPr>
      <w:pict w14:anchorId="7F1C6571">
        <v:rect id="_x0000_i1025" style="width:453.5pt;height:1.5pt" o:hralign="center" o:hrstd="t" o:hr="t" fillcolor="#aca899" stroked="f"/>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726579" w:rsidP="00C32E02">
    <w:pPr>
      <w:pStyle w:val="Header"/>
    </w:pPr>
    <w:r>
      <w:rPr>
        <w:rFonts w:ascii="Monotype Corsiva" w:hAnsi="Monotype Corsiva"/>
        <w:b/>
        <w:sz w:val="24"/>
        <w:szCs w:val="24"/>
        <w:lang w:val="bg-BG"/>
      </w:rPr>
      <w:pict w14:anchorId="7C551966">
        <v:rect id="_x0000_i1026"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3321F"/>
    <w:rsid w:val="00041883"/>
    <w:rsid w:val="00046D3F"/>
    <w:rsid w:val="00051E3D"/>
    <w:rsid w:val="00061F75"/>
    <w:rsid w:val="00062272"/>
    <w:rsid w:val="00065D0C"/>
    <w:rsid w:val="00072006"/>
    <w:rsid w:val="0007480B"/>
    <w:rsid w:val="00083C18"/>
    <w:rsid w:val="0008741E"/>
    <w:rsid w:val="00087710"/>
    <w:rsid w:val="00092B1D"/>
    <w:rsid w:val="000950DD"/>
    <w:rsid w:val="000976B6"/>
    <w:rsid w:val="000A31B2"/>
    <w:rsid w:val="000A53BB"/>
    <w:rsid w:val="000A6BF9"/>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18C5"/>
    <w:rsid w:val="00831D30"/>
    <w:rsid w:val="00844C87"/>
    <w:rsid w:val="00845130"/>
    <w:rsid w:val="00850D27"/>
    <w:rsid w:val="008564BE"/>
    <w:rsid w:val="00865DDB"/>
    <w:rsid w:val="0087237F"/>
    <w:rsid w:val="00872565"/>
    <w:rsid w:val="008742B5"/>
    <w:rsid w:val="00880DFD"/>
    <w:rsid w:val="00883BC3"/>
    <w:rsid w:val="008A501D"/>
    <w:rsid w:val="008D04AA"/>
    <w:rsid w:val="008D2878"/>
    <w:rsid w:val="008D3DCC"/>
    <w:rsid w:val="008D41D4"/>
    <w:rsid w:val="008E0990"/>
    <w:rsid w:val="008E0FEA"/>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C6C1E"/>
    <w:rsid w:val="00AD18D2"/>
    <w:rsid w:val="00AE7381"/>
    <w:rsid w:val="00AE7443"/>
    <w:rsid w:val="00AF457B"/>
    <w:rsid w:val="00AF6AE2"/>
    <w:rsid w:val="00B13F26"/>
    <w:rsid w:val="00B1776E"/>
    <w:rsid w:val="00B17BC0"/>
    <w:rsid w:val="00B25C9C"/>
    <w:rsid w:val="00B30503"/>
    <w:rsid w:val="00B30F00"/>
    <w:rsid w:val="00B3285A"/>
    <w:rsid w:val="00B45F2A"/>
    <w:rsid w:val="00B56852"/>
    <w:rsid w:val="00B62DE5"/>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C22A5"/>
    <w:rsid w:val="00DC2803"/>
    <w:rsid w:val="00DC6B74"/>
    <w:rsid w:val="00DD2465"/>
    <w:rsid w:val="00DD3041"/>
    <w:rsid w:val="00DD3B16"/>
    <w:rsid w:val="00DD4074"/>
    <w:rsid w:val="00DD55D6"/>
    <w:rsid w:val="00DD7FC8"/>
    <w:rsid w:val="00DE6F40"/>
    <w:rsid w:val="00E25809"/>
    <w:rsid w:val="00E26DC1"/>
    <w:rsid w:val="00E31CB3"/>
    <w:rsid w:val="00E3292D"/>
    <w:rsid w:val="00E36754"/>
    <w:rsid w:val="00E44433"/>
    <w:rsid w:val="00E44EE8"/>
    <w:rsid w:val="00E51552"/>
    <w:rsid w:val="00E52EDC"/>
    <w:rsid w:val="00E55045"/>
    <w:rsid w:val="00E55385"/>
    <w:rsid w:val="00E671AD"/>
    <w:rsid w:val="00E82D16"/>
    <w:rsid w:val="00E83C1A"/>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53CE"/>
    <w:rsid w:val="00F01A49"/>
    <w:rsid w:val="00F06804"/>
    <w:rsid w:val="00F07B5E"/>
    <w:rsid w:val="00F10E9E"/>
    <w:rsid w:val="00F21C6D"/>
    <w:rsid w:val="00F30DDA"/>
    <w:rsid w:val="00F44C88"/>
    <w:rsid w:val="00F46A9E"/>
    <w:rsid w:val="00F555CE"/>
    <w:rsid w:val="00F63D9E"/>
    <w:rsid w:val="00F70126"/>
    <w:rsid w:val="00F72C6F"/>
    <w:rsid w:val="00F76B7C"/>
    <w:rsid w:val="00F83B86"/>
    <w:rsid w:val="00F8768F"/>
    <w:rsid w:val="00FA03AB"/>
    <w:rsid w:val="00FB0784"/>
    <w:rsid w:val="00FB4A23"/>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4406</TotalTime>
  <Pages>5</Pages>
  <Words>605</Words>
  <Characters>3449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Admin</cp:lastModifiedBy>
  <cp:revision>85</cp:revision>
  <cp:lastPrinted>2008-05-31T10:14:00Z</cp:lastPrinted>
  <dcterms:created xsi:type="dcterms:W3CDTF">2022-10-17T08:46:00Z</dcterms:created>
  <dcterms:modified xsi:type="dcterms:W3CDTF">2022-11-18T11:35:00Z</dcterms:modified>
</cp:coreProperties>
</file>