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СТОПАНСКА ОТЧЕТНОСТ</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СТАТИСТИКА И ПРИЛОЖНА МАТЕМАТИКА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Атанас Атанасов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14.09.2022</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07.09.2022</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6BC538DA" w14:textId="77777777" w:rsidR="00DD3041" w:rsidRPr="00C10B36" w:rsidRDefault="00DD3041" w:rsidP="00DD3041">
            <w:pPr>
              <w:jc w:val="center"/>
              <w:rPr>
                <w:rFonts w:ascii="Times New Roman" w:hAnsi="Times New Roman"/>
                <w:b/>
                <w:sz w:val="24"/>
                <w:szCs w:val="24"/>
                <w:lang w:val="bg-BG"/>
              </w:rPr>
            </w:pPr>
          </w:p>
          <w:p w14:paraId="082305CD" w14:textId="77777777" w:rsidR="00A34223" w:rsidRPr="00C10B36" w:rsidRDefault="00A34223"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Иконометрично моделиране с Gretl </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ФСО-КСПМ-М-322</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0C2D48BC" w14:textId="77777777" w:rsidR="00845130" w:rsidRPr="00C10B36" w:rsidRDefault="00845130" w:rsidP="00DD3041">
            <w:pPr>
              <w:rPr>
                <w:rFonts w:ascii="Times New Roman" w:hAnsi="Times New Roman"/>
                <w:sz w:val="24"/>
                <w:szCs w:val="24"/>
                <w:lang w:val="bg-BG"/>
              </w:rPr>
            </w:pPr>
          </w:p>
          <w:p w14:paraId="404C0DC4" w14:textId="77777777" w:rsidR="00845130" w:rsidRPr="00C10B36" w:rsidRDefault="00845130" w:rsidP="00DD3041">
            <w:pPr>
              <w:rPr>
                <w:rFonts w:ascii="Times New Roman" w:hAnsi="Times New Roman"/>
                <w:sz w:val="24"/>
                <w:szCs w:val="24"/>
                <w:lang w:val="bg-BG"/>
              </w:rPr>
            </w:pPr>
          </w:p>
          <w:p w14:paraId="40B8FE41" w14:textId="77777777" w:rsidR="00845130" w:rsidRPr="00D00320" w:rsidRDefault="00845130" w:rsidP="00DD3041">
            <w:pPr>
              <w:rPr>
                <w:rFonts w:ascii="Times New Roman" w:hAnsi="Times New Roman"/>
                <w:sz w:val="24"/>
                <w:szCs w:val="24"/>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67FD77D3" w14:textId="77777777" w:rsidR="00A34223" w:rsidRPr="00C10B36" w:rsidRDefault="00A34223" w:rsidP="00DD3041">
            <w:pPr>
              <w:rPr>
                <w:rFonts w:ascii="Times New Roman" w:hAnsi="Times New Roman"/>
                <w:sz w:val="24"/>
                <w:szCs w:val="24"/>
                <w:lang w:val="bg-BG"/>
              </w:rPr>
            </w:pPr>
          </w:p>
          <w:p w14:paraId="01EAB6F1" w14:textId="77777777" w:rsidR="00A34223" w:rsidRPr="00C10B36" w:rsidRDefault="00A34223"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ФСО-КСПМ-М-322</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v.01/2022</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/аудиторна и извънаудиторна/</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2. Извънаудиторна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33</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47</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33</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14</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14</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14</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16B32ED3" w:rsidR="00C32E02" w:rsidRPr="00AB7A25" w:rsidRDefault="00CF40F4" w:rsidP="006A52F9">
      <w:pPr>
        <w:overflowPunct/>
        <w:autoSpaceDE/>
        <w:autoSpaceDN/>
        <w:adjustRightInd/>
        <w:textAlignment w:val="auto"/>
        <w:rPr>
          <w:rFonts w:ascii="Times New Roman" w:hAnsi="Times New Roman"/>
          <w:b/>
          <w:sz w:val="28"/>
          <w:szCs w:val="24"/>
        </w:rPr>
      </w:pPr>
      <w:r>
        <w:rPr>
          <w:rFonts w:ascii="Times New Roman" w:hAnsi="Times New Roman"/>
          <w:b/>
          <w:sz w:val="28"/>
          <w:szCs w:val="24"/>
          <w:lang w:val="bg-BG"/>
        </w:rPr>
        <w:br w:type="page"/>
      </w: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lastRenderedPageBreak/>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10%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30%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Поливариантни тестови въпроси и решаване на задачи.</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„Иконометрично моделиране с Gretl“ е включена в учебния план на специалност „Бизнес анализ на данни със специализиран софтуер (съвместна програма)“, която се реализира съвместно с Университета за национално и световно стопанство – София в рамките на проект BG05M2OP001-2.016-0004-C01 „Икономическото образование в България 2030“, финансиран по ОП „Наука и образование за интелигентен растеж“, съфинансиран от Европейския съюз чрез Европейските структурни и инвестиционни фондове. Целта на обучението по дисциплината „Статистическо и иконометрично софтуерно осигуряване“  е студентите да придобият задълбочени знания, умения и навици за използване на специализирани статистически и иконометрични софтуерни продукти при организирането и провеждането на емпирични изследвания, при обработването   и анализа на набраната статистическа информация и при коректното осмисляне и интерпретиране на получените резултати.</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Съвременните изисквания към качеството на икономическото образование предполагат  обучаваните да имат сериозни математически и статистически знания, необходими при решаването на задачите, свързани с използването на моделирането и количествения анализ на икономическите процеси. Математическата подготовка обхваща математическият анализ, методите на линейното и нелинейното оптимизиране, използването на логаритмични  и показателни функции, умението да се  работи с формули, уравнения и графики. Статистическата подготовка изисква знания за статистическите разпределения, за измерването на основните статистически параметри – средното значение, стандартното отклонение, коефициентите на корелация, методите на регресионния, корелационния, дисперсионния, факторния и дискриминантния анализ и условията за тяхното приложение. Основните знания за работа с изброените методи обикновено са достатъчни, но съвременните икономически изследвания изискват по-високо ниво на владеене както на  математиката и  статистиката, така и на икономическата теория и иконометричните софтуерни продукти.</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както във вид на традиционни лекции чрез използване на съвременни технически средства за презентация (интерактивни дъски и екрани, холограмни проектори, устройства за виртуална реалност и др.), така и във вид на синхронни лекции и семинарни занятия във виртуални класни стаи.</w:t>
      </w:r>
    </w:p>
    <w:p w14:paraId="3EFBF371" w14:textId="5BCB3AD9"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lastRenderedPageBreak/>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Обучението на студентите се осъществява с помощта на online лекции, участие в консултации, участие във форумите и чат-групите, лични контакти по телефон или e-mail. На студентите в дистанционна форма на обучение се предоставя подробно описание за изтегляне, инсталиране и  практическа работа със специализирания иконометричен софтуер Gretl, който се разпространява свободно. С помощта на реални данни, набавени от различни информационни източници в интернет, се извършва апробиране на представените в дисциплината специфични иконометрични модели.</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След завършване на обучението студентите ще могат да използват различни информационни системи за набавяне на реални макроикономически данни за отделните страни, да прилагат специализиран софтуерен продукт за анализ на набраните данни с помощта на подходящи иконометрични модели и  да интерпретират адекватно получените резултати. След усвояването на представените съвременни методи за иконометрична оценка и анализ на икономически явления и процеси, наложили се в българската и в международната статистическа практика, студентите ще придобият знания, умения и навици за: основите на иконометричното моделиране; количествено оценяване, анализиране и прогнозиране на стопанската дейност; решаване на широк кръг практически задачи при анализиране, планиране, регулиране и прогнозиране на икономическите дейности на макро-, мезо- и микро-равнище.</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Дисциплина: ECONOMETRICS PAE; Университет: Czech University of Life Science,  Чешка република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Дисциплина: STATISTICS AND ECONOMETRICS I, STATISTICS AND ECONOMETRICS II; Университет: University of Cyprus, Кипър</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Дисциплина: ECONOMETRICS – METHODS AND APPLICATION; Университет: University of Rennes, Франция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4. Дисциплина: ECONOMETRICS; Университет: Athens University of Economics and Business, Гърция</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w:t>
            </w:r>
            <w:r>
              <w:rPr>
                <w:rFonts w:ascii="Times New Roman" w:hAnsi="Times New Roman"/>
                <w:b/>
                <w:sz w:val="24"/>
                <w:szCs w:val="24"/>
              </w:rPr>
              <w:t>Тема I. Икономически и иконометрични модели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Общо понятие за модел</w:t>
              <w:br/>
              <w:t xml:space="preserve">2. Икономически модели</w:t>
              <w:br/>
              <w:t xml:space="preserve">3. Иконометрични модели</w:t>
              <w:br/>
              <w:t xml:space="preserve">4. Елементи и свойства на иконометричните модели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${temi#2}</w:t>
            </w:r>
            <w:r>
              <w:rPr>
                <w:rFonts w:ascii="Times New Roman" w:hAnsi="Times New Roman"/>
                <w:b/>
                <w:sz w:val="24"/>
                <w:szCs w:val="24"/>
              </w:rPr>
              <w:t>Тема II. Иконометрични модели за производствената функция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Особености при иконометричния анализ на производствената функция</w:t>
              <w:br/>
              <w:t xml:space="preserve">2. Основни иконометрични модели за анализ на производствената функция</w:t>
              <w:br/>
              <w:t xml:space="preserve">3. Иконометрична оценка на производствените функции с помощта на трансцедентната логаритмичната (транслог) апроксимация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${temi#3}</w:t>
            </w:r>
            <w:r>
              <w:rPr>
                <w:rFonts w:ascii="Times New Roman" w:hAnsi="Times New Roman"/>
                <w:b/>
                <w:sz w:val="24"/>
                <w:szCs w:val="24"/>
              </w:rPr>
              <w:t>Тема III. Иконометрични модели за търсенето, потреблението и предлагането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Иконометричен анализ на търсенето</w:t>
              <w:br/>
              <w:t xml:space="preserve">2. Иконометричен анализ на потреблението</w:t>
              <w:br/>
              <w:t xml:space="preserve">3. Иконометричен анализ на предлагането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${temi#4}</w:t>
            </w:r>
            <w:r>
              <w:rPr>
                <w:rFonts w:ascii="Times New Roman" w:hAnsi="Times New Roman"/>
                <w:b/>
                <w:sz w:val="24"/>
                <w:szCs w:val="24"/>
              </w:rPr>
              <w:t>Тема IV. Иконометрични модели за външната търговия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Основни понятия при изследване на външната търговия</w:t>
              <w:br/>
              <w:t xml:space="preserve">2. Иконометрични модели за вноса</w:t>
              <w:br/>
              <w:t xml:space="preserve">3. Иконометрични модели за износа</w:t>
              <w:br/>
              <w:t xml:space="preserve">4. Иконометрични модели  за търговския баланс</w:t>
              <w:br/>
              <w:t xml:space="preserve">5. Иконометрични динамични модели на външната търговия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${temi#5}</w:t>
            </w:r>
            <w:r>
              <w:rPr>
                <w:rFonts w:ascii="Times New Roman" w:hAnsi="Times New Roman"/>
                <w:b/>
                <w:sz w:val="24"/>
                <w:szCs w:val="24"/>
              </w:rPr>
              <w:t>Тема V. Финансови иконометрични модели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Обща характеристика на финансовите иконометрични модели</w:t>
              <w:br/>
              <w:t xml:space="preserve">2. Иконометрични модели, основани на хипотезите за случайно блуждаене</w:t>
              <w:br/>
              <w:t xml:space="preserve">3. Иконометричен модел за оценка на финансовите активи</w:t>
              <w:br/>
              <w:t xml:space="preserve">4. Динамични модели на финансови показатели с нелинейна структура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${temi#6}</w:t>
            </w:r>
            <w:r>
              <w:rPr>
                <w:rFonts w:ascii="Times New Roman" w:hAnsi="Times New Roman"/>
                <w:b/>
                <w:sz w:val="24"/>
                <w:szCs w:val="24"/>
              </w:rPr>
              <w:t>Тема VI. Иконометрични модели за работната заплата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Измерване на инфлацията</w:t>
              <w:br/>
              <w:t xml:space="preserve">2. Моделиране на динамиката на потребителските цени и инфлацията</w:t>
              <w:br/>
              <w:t xml:space="preserve">3. Иконометрични модели на цените и работните заплати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${temi#7}</w:t>
            </w:r>
            <w:r>
              <w:rPr>
                <w:rFonts w:ascii="Times New Roman" w:hAnsi="Times New Roman"/>
                <w:b/>
                <w:sz w:val="24"/>
                <w:szCs w:val="24"/>
              </w:rPr>
              <w:t>Тема VII. Иконометрични модели за инвестициите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Обща постановка на инвестиционната функция</w:t>
              <w:br/>
              <w:t xml:space="preserve">2. Определяне на желания размер на основния капитал</w:t>
              <w:br/>
              <w:t xml:space="preserve">3. Определян на инвестициите, необходими за възстановяване</w:t>
              <w:br/>
              <w:t xml:space="preserve">4. Определяне теглата на инвестиционната функция</w:t>
              <w:br/>
              <w:t xml:space="preserve">5. Източници на информация за инвестициите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${temi#8}</w:t>
            </w:r>
            <w:r>
              <w:rPr>
                <w:rFonts w:ascii="Times New Roman" w:hAnsi="Times New Roman"/>
                <w:b/>
                <w:sz w:val="24"/>
                <w:szCs w:val="24"/>
              </w:rPr>
              <w:t>Тема VIII. Комплексни иконометрични модели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на комплексните модели</w:t>
              <w:br/>
              <w:t xml:space="preserve">2. Иконометрична оценка на система от едновременни уравнения</w:t>
              <w:br/>
              <w:t xml:space="preserve">3. Идентификация на система от едновременни уравнения</w:t>
              <w:br/>
              <w:t xml:space="preserve">4. Методи за измерване параметрите на система от едновременни</w:t>
              <w:br/>
              <w:t xml:space="preserve">уравнения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hidden/>
        </w:trPr>
        <w:tc>
          <w:tcPr>
            <w:tcW w:w="4820" w:type="dxa"/>
            <w:shd w:val="clear" w:color="auto" w:fill="D9D9D9"/>
          </w:tcPr>
          <w:p w14:paraId="2BD39866" w14:textId="1750D4EF" w:rsidR="00A56E5C" w:rsidRPr="002F782E" w:rsidRDefault="002F782E" w:rsidP="00795473">
            <w:pPr>
              <w:spacing w:line="240" w:lineRule="atLeast"/>
              <w:jc w:val="right"/>
              <w:rPr>
                <w:rFonts w:ascii="Times New Roman" w:hAnsi="Times New Roman"/>
                <w:b/>
                <w:color w:val="232323"/>
                <w:spacing w:val="-17"/>
                <w:sz w:val="28"/>
                <w:szCs w:val="28"/>
              </w:rPr>
            </w:pPr>
            <w:r w:rsidRPr="003D31E5">
              <w:rPr>
                <w:rFonts w:ascii="Times New Roman" w:hAnsi="Times New Roman"/>
                <w:b/>
                <w:vanish/>
                <w:color w:val="232323"/>
                <w:spacing w:val="-17"/>
                <w:sz w:val="28"/>
                <w:szCs w:val="28"/>
              </w:rPr>
              <w:t>${temi_sum#1}</w:t>
            </w: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bookmarkStart w:id="0" w:name="_GoBack"/>
      <w:bookmarkEnd w:id="0"/>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Gretl for Windows</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2</w:t>
            </w:r>
            <w:r w:rsidR="00275D25">
              <w:rPr>
                <w:rFonts w:ascii="Times New Roman" w:hAnsi="Times New Roman"/>
                <w:sz w:val="24"/>
                <w:szCs w:val="24"/>
              </w:rPr>
              <w:t xml:space="preserve"> </w:t>
            </w:r>
            <w:r w:rsidR="00261DFD">
              <w:rPr>
                <w:rFonts w:ascii="Times New Roman" w:hAnsi="Times New Roman"/>
                <w:sz w:val="24"/>
                <w:szCs w:val="24"/>
              </w:rPr>
              <w:t> MS Excel</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3</w:t>
            </w:r>
            <w:r w:rsidR="00275D25">
              <w:rPr>
                <w:rFonts w:ascii="Times New Roman" w:hAnsi="Times New Roman"/>
                <w:sz w:val="24"/>
                <w:szCs w:val="24"/>
              </w:rPr>
              <w:t xml:space="preserve"> </w:t>
            </w:r>
            <w:r w:rsidR="00261DFD">
              <w:rPr>
                <w:rFonts w:ascii="Times New Roman" w:hAnsi="Times New Roman"/>
                <w:sz w:val="24"/>
                <w:szCs w:val="24"/>
              </w:rPr>
              <w:t> MS Power Point</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lastRenderedPageBreak/>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в Платформата за дистанционно и електронно обучение на СА “Д. А.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Петков, Пл., Иванов, Л. (2021). Иконометрични модели - учебно пособие за бакалавърско обучение.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Петков, Пл. (2020). Иконометрия с Gretl.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Петков, Пл. (2009). Иконометрични методи за анализ на агрегираната производствена функция – сравнителен анализ. Свищов, АИ "Ценов", Библиотека „Стопански свят”, бр. 102.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Иванов, Л., Касабова, Ст., Шопова, М. (2017). Статистическо изучаване на прогнозиране и развитие. Свищов, АИ "Ценов".</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Ангелова, П. (2017). Основи на статистиката. Свищов, АИ "Ценов".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Славева, К. (2020). Икономическа статистика - учебно пособие за дистанционно обучение магистри. Свищов, АИ "Ценов".</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статистиката. Обн., ДВ, бр. 57 от 25.06.1999 г., посл. изм., бр. 38 от 24.04.2020 г., в сила от 01.01.2022 г.</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www.bnb.bg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www.bnb.bg</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${authors#1}</w:t>
            </w:r>
            <w:r w:rsidRPr="00C10B36">
              <w:rPr>
                <w:rFonts w:ascii="Times New Roman" w:hAnsi="Times New Roman"/>
                <w:bCs/>
                <w:color w:val="222222"/>
                <w:sz w:val="24"/>
                <w:szCs w:val="24"/>
              </w:rPr>
              <w:t>(</w:t>
            </w:r>
            <w:r>
              <w:rPr>
                <w:rFonts w:ascii="Times New Roman" w:hAnsi="Times New Roman"/>
                <w:bCs/>
                <w:color w:val="222222"/>
                <w:sz w:val="24"/>
                <w:szCs w:val="24"/>
              </w:rPr>
              <w:t>доц. д-р Пламен Петков)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Пламен Петков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F9F29" w14:textId="77777777" w:rsidR="00726579" w:rsidRDefault="00726579">
      <w:r>
        <w:separator/>
      </w:r>
    </w:p>
  </w:endnote>
  <w:endnote w:type="continuationSeparator" w:id="0">
    <w:p w14:paraId="51D07832" w14:textId="77777777" w:rsidR="00726579" w:rsidRDefault="0072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B5245" w14:textId="77777777" w:rsidR="005E448E" w:rsidRPr="00C32E02" w:rsidRDefault="005E448E" w:rsidP="00CA1B74">
    <w:pPr>
      <w:pStyle w:val="Footer"/>
      <w:framePr w:wrap="around" w:vAnchor="text" w:hAnchor="margin" w:xAlign="right" w:y="1"/>
      <w:rPr>
        <w:rStyle w:val="PageNumber"/>
        <w:rFonts w:ascii="Times New Roman" w:hAnsi="Times New Roman"/>
        <w:sz w:val="20"/>
        <w:lang w:val="ru-RU"/>
      </w:rPr>
    </w:pPr>
    <w:r w:rsidRPr="00C32E02">
      <w:rPr>
        <w:rStyle w:val="PageNumber"/>
        <w:rFonts w:ascii="Times New Roman" w:hAnsi="Times New Roman"/>
        <w:sz w:val="20"/>
      </w:rPr>
      <w:fldChar w:fldCharType="begin"/>
    </w:r>
    <w:r w:rsidRPr="00C32E02">
      <w:rPr>
        <w:rStyle w:val="PageNumber"/>
        <w:rFonts w:ascii="Times New Roman" w:hAnsi="Times New Roman"/>
        <w:sz w:val="20"/>
      </w:rPr>
      <w:instrText xml:space="preserve">PAGE  </w:instrText>
    </w:r>
    <w:r w:rsidRPr="00C32E02">
      <w:rPr>
        <w:rStyle w:val="PageNumber"/>
        <w:rFonts w:ascii="Times New Roman" w:hAnsi="Times New Roman"/>
        <w:sz w:val="20"/>
      </w:rPr>
      <w:fldChar w:fldCharType="separate"/>
    </w:r>
    <w:r w:rsidRPr="00C32E02">
      <w:rPr>
        <w:rStyle w:val="PageNumber"/>
        <w:rFonts w:ascii="Times New Roman" w:hAnsi="Times New Roman"/>
        <w:noProof/>
        <w:sz w:val="20"/>
        <w:lang w:val="ru-RU"/>
      </w:rPr>
      <w:t>5</w:t>
    </w:r>
    <w:r w:rsidRPr="00C32E02">
      <w:rPr>
        <w:rStyle w:val="PageNumber"/>
        <w:rFonts w:ascii="Times New Roman" w:hAnsi="Times New Roman"/>
        <w:sz w:val="20"/>
      </w:rPr>
      <w:fldChar w:fldCharType="end"/>
    </w:r>
  </w:p>
  <w:p w14:paraId="176953BF"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3EBE84E1" w14:textId="77777777" w:rsidR="005E448E" w:rsidRPr="00C32E02" w:rsidRDefault="005E448E" w:rsidP="00C32E02">
    <w:pPr>
      <w:pStyle w:val="Footer"/>
      <w:jc w:val="center"/>
      <w:rPr>
        <w:rFonts w:ascii="Times New Roman" w:hAnsi="Times New Roman"/>
        <w:i/>
        <w:sz w:val="12"/>
        <w:szCs w:val="12"/>
        <w:lang w:val="ru-RU"/>
      </w:rPr>
    </w:pPr>
  </w:p>
  <w:p w14:paraId="2DFC71F3"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5BEFFF66" w14:textId="77777777" w:rsidR="005E448E" w:rsidRPr="00C32E02" w:rsidRDefault="005E448E" w:rsidP="00CA1B74">
    <w:pPr>
      <w:pStyle w:val="Footer"/>
      <w:ind w:right="360"/>
      <w:rPr>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CF896" w14:textId="77777777" w:rsidR="00726579" w:rsidRDefault="00726579">
      <w:r>
        <w:separator/>
      </w:r>
    </w:p>
  </w:footnote>
  <w:footnote w:type="continuationSeparator" w:id="0">
    <w:p w14:paraId="4A84B4B6" w14:textId="77777777" w:rsidR="00726579" w:rsidRDefault="00726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CA9D7"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62336" behindDoc="0" locked="0" layoutInCell="1" allowOverlap="1" wp14:anchorId="42C2B881" wp14:editId="432CFBFD">
          <wp:simplePos x="0" y="0"/>
          <wp:positionH relativeFrom="margin">
            <wp:align>right</wp:align>
          </wp:positionH>
          <wp:positionV relativeFrom="paragraph">
            <wp:posOffset>-22225</wp:posOffset>
          </wp:positionV>
          <wp:extent cx="2301240" cy="723900"/>
          <wp:effectExtent l="0" t="0" r="3810" b="0"/>
          <wp:wrapNone/>
          <wp:docPr id="1" name="Picture 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3360" behindDoc="0" locked="0" layoutInCell="1" allowOverlap="1" wp14:anchorId="2FCBEB8F" wp14:editId="3D188DD6">
          <wp:simplePos x="0" y="0"/>
          <wp:positionH relativeFrom="column">
            <wp:posOffset>2540</wp:posOffset>
          </wp:positionH>
          <wp:positionV relativeFrom="paragraph">
            <wp:posOffset>-3175</wp:posOffset>
          </wp:positionV>
          <wp:extent cx="2318385" cy="80581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06BC9ECF"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0D252EDD"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66838895"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5F1BB416"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44D8A8C7"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46CFACA4"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7D86B694" w14:textId="750B6766" w:rsidR="005E448E" w:rsidRDefault="00726579" w:rsidP="00C32E02">
    <w:pPr>
      <w:tabs>
        <w:tab w:val="center" w:pos="4536"/>
        <w:tab w:val="right" w:pos="9072"/>
      </w:tabs>
      <w:jc w:val="center"/>
    </w:pPr>
    <w:r>
      <w:rPr>
        <w:rFonts w:ascii="Monotype Corsiva" w:hAnsi="Monotype Corsiva"/>
        <w:b/>
        <w:sz w:val="24"/>
        <w:szCs w:val="24"/>
        <w:lang w:val="bg-BG"/>
      </w:rPr>
      <w:pict w14:anchorId="7F1C6571">
        <v:rect id="_x0000_i1025" style="width:453.5pt;height:1.5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726579" w:rsidP="00C32E02">
    <w:pPr>
      <w:pStyle w:val="Header"/>
    </w:pPr>
    <w:r>
      <w:rPr>
        <w:rFonts w:ascii="Monotype Corsiva" w:hAnsi="Monotype Corsiva"/>
        <w:b/>
        <w:sz w:val="24"/>
        <w:szCs w:val="24"/>
        <w:lang w:val="bg-BG"/>
      </w:rPr>
      <w:pict w14:anchorId="7C551966">
        <v:rect id="_x0000_i1026"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3321F"/>
    <w:rsid w:val="00041883"/>
    <w:rsid w:val="00046D3F"/>
    <w:rsid w:val="00051E3D"/>
    <w:rsid w:val="00061F75"/>
    <w:rsid w:val="00062272"/>
    <w:rsid w:val="00065D0C"/>
    <w:rsid w:val="00072006"/>
    <w:rsid w:val="0007480B"/>
    <w:rsid w:val="00083C18"/>
    <w:rsid w:val="0008741E"/>
    <w:rsid w:val="00087710"/>
    <w:rsid w:val="00092B1D"/>
    <w:rsid w:val="000950DD"/>
    <w:rsid w:val="000976B6"/>
    <w:rsid w:val="000A31B2"/>
    <w:rsid w:val="000A53BB"/>
    <w:rsid w:val="000A6BF9"/>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18C5"/>
    <w:rsid w:val="00831D30"/>
    <w:rsid w:val="00844C87"/>
    <w:rsid w:val="00845130"/>
    <w:rsid w:val="00850D27"/>
    <w:rsid w:val="008564BE"/>
    <w:rsid w:val="00865DDB"/>
    <w:rsid w:val="0087237F"/>
    <w:rsid w:val="00872565"/>
    <w:rsid w:val="008742B5"/>
    <w:rsid w:val="00880DFD"/>
    <w:rsid w:val="00883BC3"/>
    <w:rsid w:val="008A501D"/>
    <w:rsid w:val="008D04AA"/>
    <w:rsid w:val="008D2878"/>
    <w:rsid w:val="008D3DCC"/>
    <w:rsid w:val="008D41D4"/>
    <w:rsid w:val="008E0990"/>
    <w:rsid w:val="008E0FEA"/>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C6C1E"/>
    <w:rsid w:val="00AD18D2"/>
    <w:rsid w:val="00AE7381"/>
    <w:rsid w:val="00AE7443"/>
    <w:rsid w:val="00AF457B"/>
    <w:rsid w:val="00AF6AE2"/>
    <w:rsid w:val="00B13F26"/>
    <w:rsid w:val="00B1776E"/>
    <w:rsid w:val="00B17BC0"/>
    <w:rsid w:val="00B25C9C"/>
    <w:rsid w:val="00B30503"/>
    <w:rsid w:val="00B30F00"/>
    <w:rsid w:val="00B3285A"/>
    <w:rsid w:val="00B45F2A"/>
    <w:rsid w:val="00B56852"/>
    <w:rsid w:val="00B62DE5"/>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C22A5"/>
    <w:rsid w:val="00DC2803"/>
    <w:rsid w:val="00DC6B74"/>
    <w:rsid w:val="00DD2465"/>
    <w:rsid w:val="00DD3041"/>
    <w:rsid w:val="00DD3B16"/>
    <w:rsid w:val="00DD4074"/>
    <w:rsid w:val="00DD55D6"/>
    <w:rsid w:val="00DD7FC8"/>
    <w:rsid w:val="00DE6F40"/>
    <w:rsid w:val="00E25809"/>
    <w:rsid w:val="00E26DC1"/>
    <w:rsid w:val="00E31CB3"/>
    <w:rsid w:val="00E3292D"/>
    <w:rsid w:val="00E36754"/>
    <w:rsid w:val="00E44433"/>
    <w:rsid w:val="00E44EE8"/>
    <w:rsid w:val="00E51552"/>
    <w:rsid w:val="00E52EDC"/>
    <w:rsid w:val="00E55045"/>
    <w:rsid w:val="00E55385"/>
    <w:rsid w:val="00E671AD"/>
    <w:rsid w:val="00E82D16"/>
    <w:rsid w:val="00E83C1A"/>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53CE"/>
    <w:rsid w:val="00F01A49"/>
    <w:rsid w:val="00F06804"/>
    <w:rsid w:val="00F07B5E"/>
    <w:rsid w:val="00F10E9E"/>
    <w:rsid w:val="00F21C6D"/>
    <w:rsid w:val="00F30DDA"/>
    <w:rsid w:val="00F44C88"/>
    <w:rsid w:val="00F46A9E"/>
    <w:rsid w:val="00F555CE"/>
    <w:rsid w:val="00F63D9E"/>
    <w:rsid w:val="00F70126"/>
    <w:rsid w:val="00F72C6F"/>
    <w:rsid w:val="00F76B7C"/>
    <w:rsid w:val="00F83B86"/>
    <w:rsid w:val="00F8768F"/>
    <w:rsid w:val="00FA03AB"/>
    <w:rsid w:val="00FB0784"/>
    <w:rsid w:val="00FB4A23"/>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4406</TotalTime>
  <Pages>5</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Admin</cp:lastModifiedBy>
  <cp:revision>85</cp:revision>
  <cp:lastPrinted>2008-05-31T10:14:00Z</cp:lastPrinted>
  <dcterms:created xsi:type="dcterms:W3CDTF">2022-10-17T08:46:00Z</dcterms:created>
  <dcterms:modified xsi:type="dcterms:W3CDTF">2022-11-18T11:35:00Z</dcterms:modified>
</cp:coreProperties>
</file>