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СТАТИСТИКА И ПРИЛОЖНА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Преддипломна практика (БСА)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ФСО-КСПМ-Б-893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ФСО-КСПМ-Б-893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0936259C" w:rsidR="00A34223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7D4D7629" w14:textId="77777777" w:rsidR="009A1AF2" w:rsidRDefault="009A1AF2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tbl>
      <w:tblPr>
        <w:tblStyle w:val="TableGrid"/>
        <w:tblW w:w="0" w:type="auto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8"/>
        <w:gridCol w:w="4955"/>
      </w:tblGrid>
      <w:tr w:rsidR="002E5D93" w14:paraId="0334B26F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143D0BA" w14:textId="42662DE5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Учебна заетост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61AB49A2" w14:textId="19E56B0A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Часове</w:t>
            </w:r>
          </w:p>
        </w:tc>
      </w:tr>
      <w:tr w:rsidR="002E5D93" w14:paraId="15371989" w14:textId="77777777" w:rsidTr="009A1AF2">
        <w:tc>
          <w:tcPr>
            <w:tcW w:w="5528" w:type="dxa"/>
            <w:vAlign w:val="center"/>
          </w:tcPr>
          <w:p w14:paraId="17ADF2FD" w14:textId="5A66E7D3" w:rsidR="002E5D93" w:rsidRPr="002E5D93" w:rsidRDefault="00C861C6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C861C6">
              <w:rPr>
                <w:rFonts w:ascii="Times New Roman" w:hAnsi="Times New Roman"/>
                <w:b/>
                <w:sz w:val="24"/>
                <w:szCs w:val="24"/>
              </w:rPr>
              <w:t>Извънаудиторна</w:t>
            </w:r>
            <w:proofErr w:type="spellEnd"/>
            <w:r w:rsidR="002E5D9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заетост (ИАЗ)</w:t>
            </w:r>
          </w:p>
        </w:tc>
        <w:tc>
          <w:tcPr>
            <w:tcW w:w="4955" w:type="dxa"/>
            <w:vAlign w:val="center"/>
          </w:tcPr>
          <w:p w14:paraId="074FA344" w14:textId="77777777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E5D93" w14:paraId="13D7CF1E" w14:textId="77777777" w:rsidTr="009A1AF2">
        <w:tc>
          <w:tcPr>
            <w:tcW w:w="5528" w:type="dxa"/>
            <w:vAlign w:val="center"/>
          </w:tcPr>
          <w:p w14:paraId="7DDB4839" w14:textId="6DF3777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4955" w:type="dxa"/>
            <w:vAlign w:val="center"/>
          </w:tcPr>
          <w:p w14:paraId="606EC065" w14:textId="0294C7AC" w:rsidR="002E5D93" w:rsidRPr="00F600F5" w:rsidRDefault="002870BC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25</w:t>
            </w:r>
          </w:p>
        </w:tc>
      </w:tr>
      <w:tr w:rsidR="002E5D93" w14:paraId="3AB3DC8B" w14:textId="77777777" w:rsidTr="009A1AF2">
        <w:tc>
          <w:tcPr>
            <w:tcW w:w="5528" w:type="dxa"/>
            <w:vAlign w:val="center"/>
          </w:tcPr>
          <w:p w14:paraId="59315F01" w14:textId="7317582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Подготовка на Доклади/Дневници/Реферати</w:t>
            </w:r>
          </w:p>
        </w:tc>
        <w:tc>
          <w:tcPr>
            <w:tcW w:w="4955" w:type="dxa"/>
            <w:vAlign w:val="center"/>
          </w:tcPr>
          <w:p w14:paraId="5616908A" w14:textId="324FFF23" w:rsidR="002E5D93" w:rsidRPr="00F600F5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</w:tr>
      <w:tr w:rsidR="002E5D93" w14:paraId="73D517D4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120953E" w14:textId="1E015EE7" w:rsidR="002E5D93" w:rsidRPr="00C861C6" w:rsidRDefault="009A1AF2" w:rsidP="00C861C6">
            <w:pPr>
              <w:spacing w:line="240" w:lineRule="exact"/>
              <w:ind w:left="1416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Всички:</w:t>
            </w:r>
            <w:r w:rsidR="00C86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7A0A2FB4" w14:textId="27FACEDD" w:rsidR="002E5D93" w:rsidRPr="008D4D57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</w:tr>
    </w:tbl>
    <w:p w14:paraId="402CE3FA" w14:textId="77777777" w:rsidR="002E5D93" w:rsidRPr="00C10B36" w:rsidRDefault="002E5D9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p w14:paraId="24EC4CD6" w14:textId="72C06B02" w:rsidR="00A34223" w:rsidRPr="00C861C6" w:rsidRDefault="00A34223" w:rsidP="00C861C6">
      <w:pPr>
        <w:rPr>
          <w:rFonts w:ascii="Times New Roman" w:hAnsi="Times New Roman"/>
          <w:b/>
          <w:sz w:val="28"/>
          <w:szCs w:val="24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35A29105" w:rsidR="0007480B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Pr>
        <w:tblStyle w:val="TableGrid"/>
        <w:tblW w:w="10483" w:type="dxa"/>
        <w:tblInd w:w="279" w:type="dxa"/>
        <w:tblCellMar>
          <w:top w:w="57" w:type="dxa"/>
          <w:left w:w="142" w:type="dxa"/>
          <w:bottom w:w="57" w:type="dxa"/>
        </w:tblCellMar>
        <w:tblLook w:val="04A0" w:firstRow="1" w:lastRow="0" w:firstColumn="1" w:lastColumn="0" w:noHBand="0" w:noVBand="1"/>
      </w:tblPr>
      <w:tblGrid>
        <w:gridCol w:w="5102"/>
        <w:gridCol w:w="5381"/>
      </w:tblGrid>
      <w:tr w:rsidR="00C861C6" w14:paraId="27DD98B4" w14:textId="77777777" w:rsidTr="005D1AD9">
        <w:tc>
          <w:tcPr>
            <w:tcW w:w="5102" w:type="dxa"/>
            <w:shd w:val="clear" w:color="auto" w:fill="D9D9D9" w:themeFill="background1" w:themeFillShade="D9"/>
            <w:vAlign w:val="center"/>
          </w:tcPr>
          <w:p w14:paraId="696FDBCA" w14:textId="1106BD0F" w:rsidR="00C861C6" w:rsidRPr="00E447A2" w:rsidRDefault="00C861C6" w:rsidP="005D1A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5381" w:type="dxa"/>
            <w:shd w:val="clear" w:color="auto" w:fill="D9D9D9" w:themeFill="background1" w:themeFillShade="D9"/>
            <w:vAlign w:val="center"/>
          </w:tcPr>
          <w:p w14:paraId="034FCFA5" w14:textId="4B013BF4" w:rsidR="00C861C6" w:rsidRPr="00E447A2" w:rsidRDefault="00C861C6" w:rsidP="005D1A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Тежест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критерия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(%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от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комплексната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C861C6" w14:paraId="2EC4292E" w14:textId="77777777" w:rsidTr="005D1AD9">
        <w:tc>
          <w:tcPr>
            <w:tcW w:w="5102" w:type="dxa"/>
            <w:vAlign w:val="center"/>
          </w:tcPr>
          <w:p w14:paraId="7B37E7DD" w14:textId="0BFA9B89" w:rsidR="00C861C6" w:rsidRPr="00C861C6" w:rsidRDefault="00C861C6" w:rsidP="005D1A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1. </w:t>
            </w:r>
            <w:r w:rsidRPr="00C861C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Изпълнение на ангажиментите по време на практиката, в т.ч.:</w:t>
            </w:r>
          </w:p>
        </w:tc>
        <w:tc>
          <w:tcPr>
            <w:tcW w:w="5381" w:type="dxa"/>
            <w:vAlign w:val="center"/>
          </w:tcPr>
          <w:p w14:paraId="2AC6FC27" w14:textId="56365658" w:rsidR="00C861C6" w:rsidRPr="009D29A3" w:rsidRDefault="009D29A3" w:rsidP="005D1A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</w:tr>
      <w:tr w:rsidR="00C861C6" w14:paraId="2F3AE946" w14:textId="77777777" w:rsidTr="005D1AD9">
        <w:tc>
          <w:tcPr>
            <w:tcW w:w="5102" w:type="dxa"/>
            <w:vAlign w:val="center"/>
          </w:tcPr>
          <w:p w14:paraId="366C885A" w14:textId="7E2AE55A" w:rsidR="00C861C6" w:rsidRPr="00A20CAC" w:rsidRDefault="009D29A3" w:rsidP="005D1AD9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1.1. Мнение на прекия ръководител/ментора в звеното на провеждане на практиката относно изпълнението на поставените задачи на студента</w:t>
            </w:r>
          </w:p>
        </w:tc>
        <w:tc>
          <w:tcPr>
            <w:tcW w:w="5381" w:type="dxa"/>
            <w:vAlign w:val="center"/>
          </w:tcPr>
          <w:p w14:paraId="7CB7B8D6" w14:textId="7493A3AF" w:rsidR="00C861C6" w:rsidRPr="00A20CAC" w:rsidRDefault="009D29A3" w:rsidP="005D1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9D29A3" w14:paraId="326CDF49" w14:textId="77777777" w:rsidTr="005D1AD9">
        <w:tc>
          <w:tcPr>
            <w:tcW w:w="5102" w:type="dxa"/>
            <w:vAlign w:val="center"/>
          </w:tcPr>
          <w:p w14:paraId="0213DBE7" w14:textId="03173156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1.2. Академични задания</w:t>
            </w:r>
          </w:p>
        </w:tc>
        <w:tc>
          <w:tcPr>
            <w:tcW w:w="5381" w:type="dxa"/>
            <w:vAlign w:val="center"/>
          </w:tcPr>
          <w:p w14:paraId="4EE7EC9B" w14:textId="6026C37F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9D29A3" w14:paraId="04E541BD" w14:textId="77777777" w:rsidTr="005D1AD9">
        <w:tc>
          <w:tcPr>
            <w:tcW w:w="5102" w:type="dxa"/>
            <w:vAlign w:val="center"/>
          </w:tcPr>
          <w:p w14:paraId="15BED05C" w14:textId="5821AA3D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1.2.1 Дневник за изпълняваните дейности/задачи, заверен от ръководителя на практиката/ментора</w:t>
            </w:r>
          </w:p>
        </w:tc>
        <w:tc>
          <w:tcPr>
            <w:tcW w:w="5381" w:type="dxa"/>
            <w:vAlign w:val="center"/>
          </w:tcPr>
          <w:p w14:paraId="544C0EEB" w14:textId="4BB8534D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D29A3" w14:paraId="5E52176F" w14:textId="77777777" w:rsidTr="005D1AD9">
        <w:tc>
          <w:tcPr>
            <w:tcW w:w="5102" w:type="dxa"/>
            <w:vAlign w:val="center"/>
          </w:tcPr>
          <w:p w14:paraId="6A17A681" w14:textId="1A2A009A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1.2.2 Доклад за резултати от проведено в звеното на практиката проучване по предварително зададена тема</w:t>
            </w:r>
          </w:p>
        </w:tc>
        <w:tc>
          <w:tcPr>
            <w:tcW w:w="5381" w:type="dxa"/>
            <w:vAlign w:val="center"/>
          </w:tcPr>
          <w:p w14:paraId="285BA192" w14:textId="07E81D2B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9D29A3" w14:paraId="6FCF7332" w14:textId="77777777" w:rsidTr="005D1AD9">
        <w:tc>
          <w:tcPr>
            <w:tcW w:w="5102" w:type="dxa"/>
            <w:vAlign w:val="center"/>
          </w:tcPr>
          <w:p w14:paraId="0E59DC69" w14:textId="5846565D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2. Семестриален изпит. Събеседване със студентите по изложените в дневника/доклада проблеми</w:t>
            </w:r>
          </w:p>
        </w:tc>
        <w:tc>
          <w:tcPr>
            <w:tcW w:w="5381" w:type="dxa"/>
            <w:vAlign w:val="center"/>
          </w:tcPr>
          <w:p w14:paraId="28696EE1" w14:textId="7FBD34A5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D29A3" w14:paraId="55130A14" w14:textId="77777777" w:rsidTr="005D1AD9">
        <w:tc>
          <w:tcPr>
            <w:tcW w:w="5102" w:type="dxa"/>
            <w:shd w:val="clear" w:color="auto" w:fill="D9D9D9" w:themeFill="background1" w:themeFillShade="D9"/>
            <w:vAlign w:val="center"/>
          </w:tcPr>
          <w:p w14:paraId="04832D9E" w14:textId="48E076AF" w:rsidR="009D29A3" w:rsidRDefault="009D29A3" w:rsidP="009D29A3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дисциплината:</w:t>
            </w:r>
          </w:p>
        </w:tc>
        <w:tc>
          <w:tcPr>
            <w:tcW w:w="5381" w:type="dxa"/>
            <w:shd w:val="clear" w:color="auto" w:fill="D9D9D9" w:themeFill="background1" w:themeFillShade="D9"/>
            <w:vAlign w:val="center"/>
          </w:tcPr>
          <w:p w14:paraId="3779C1F8" w14:textId="158957FE" w:rsidR="009D29A3" w:rsidRPr="009D29A3" w:rsidRDefault="009D29A3" w:rsidP="009D29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</w:tbl>
    <w:p w14:paraId="00F66FE9" w14:textId="23D86D6B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0EA5D97" w14:textId="77777777" w:rsidR="008919B1" w:rsidRDefault="008919B1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05BBA72E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2.1. Цел на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практиката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провеждането на преддипломната практика е студентите да се запознаят в реални условия с практическото приложение на усвоените през курса на обучение статистически методи за анализ на социално-икономическите явления и процеси. С дисциплината „Преддипломна практика” завършва семестриалното обучение в образователно-квалификационната степен „бакалавър”. С нея се предоставя възможност получените по време на обучението теоретични знания да бъдат сверени с практическата им реализация не само в Териториалните статистически бюра и в Националния статистически институт, но така също и в институции и ведомства – органи на статистиката.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Учебното съдържание на програмата е разработено в съответствие с възможностите за провеждане на преддипломната практика и специфичните особености на статистическата практика в конкретните институции. Състои се от две самостоятелно обособени части и включва основните направления и теми, по които студентите могат да реализират практическото си обучение.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Преддипломната практика се базира на знанията по Основи на статистиката, Социална статистика, Икономическа статистика, Система на националните сметки, Извадкови изследвания, Иконометрия и други дисциплини, изучавани през предходните семестри.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3928D405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2.3.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Организация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провеждане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proofErr w:type="spellStart"/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преддипломната</w:t>
      </w:r>
      <w:proofErr w:type="spellEnd"/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практика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Преддипломната практика е с продължителност 45 дни. Тя може да бъде проведена в: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•Националния статистически институт (НСИ) и Териториалните статистически бюра (ТСБ);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•Отдел “Агростатистика” в Министерството на земеделието, храните и горите (МЗХГ) и областните дирекции „Земеделие и гори“;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•Статистическите отдели на търговските банки;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•Статистическите отдели в многопрофилните болници;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•Дирекции “Регионални служби по заетостта” и дирекции „Бюра по труда” към Агенцията по заетостта;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•Общинските отдели „Единна Система за Гражданска Регистрация и Административно Обслужване на Населението” (ЕСГРАОН);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•Статистическите отдели/звена в министерства и ведомства на Р. България;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•На работното място, в което практикантът работи на основен трудов договор и на пълно работно време.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края на периода на провеждане на преддипломната практика студентите представят доклад за провеждането й в обем до 10 стандартни страници. Съдържанието на доклада трябва да включва теоретично и практическо представяне на две теми от учебното съдържание на преддипломната практика. Като приложение към доклада могат да се представят образци на статистически формуляри, свързани с организацията на статистическата практика по разработваните теми.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Чрез представяне на служебна бележка, подписана и подпечатана от директора/ръководителя на организацията/ведомството, се удостоверява провеждането на преддипломната практика.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lastRenderedPageBreak/>
        <w:t>Преддипломната практика има важно значение за успешната реализация на бъдещите специалисти. В резултат на нейното провеждане студентите се запознават в реална работна среда с организацията на статистическата отчетност, усъвършенстват и рационализират използването на статистическата информация за статистически анализи на изследваните социално-икономически явления и процеси, затвърждават успешното прилагане на изучаваните по време на курса на обучение статистически методи.</w:t>
      </w:r>
    </w:p>
    <w:p w14:paraId="1F410D5D" w14:textId="77777777" w:rsidR="007C5A15" w:rsidRPr="003D232B" w:rsidRDefault="007C5A15" w:rsidP="00143328">
      <w:pPr>
        <w:ind w:firstLine="709"/>
        <w:jc w:val="both"/>
        <w:rPr>
          <w:rFonts w:ascii="Times New Roman" w:hAnsi="Times New Roman"/>
        </w:rPr>
      </w:pPr>
    </w:p>
    <w:p w14:paraId="798EA7AD" w14:textId="77777777" w:rsidR="00E52EDC" w:rsidRPr="00821D83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</w:pPr>
    </w:p>
    <w:p w14:paraId="5333ECE4" w14:textId="729BA1E8" w:rsidR="00851A48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821D83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. Учебно съдържание</w:t>
      </w:r>
    </w:p>
    <w:p w14:paraId="2AA14601" w14:textId="1F956E50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Grid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#fff"/>
          <w:left w:val="single" w:sz="1" w:color="#fff"/>
          <w:right w:val="single" w:sz="1" w:color="#fff"/>
          <w:bottom w:val="single" w:sz="1" w:color="#fff"/>
          <w:insideH w:val="single" w:sz="1" w:color="#fff"/>
          <w:insideV w:val="single" w:sz="1" w:color="#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ВЪПРОСИ ЗА ПРОУЧВАНЕ ПО ВРЕМЕ НА ПРАКТИКАТА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I. Национална статистическа система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Организационна структура на Националния статистически институт</w:t>
              <w:br/>
              <w:t xml:space="preserve">2. Организационна структура на Териториалните статистически бюра</w:t>
              <w:br/>
              <w:t xml:space="preserve">3. Структурни звена в държавната администрация, които са органи на статистиката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II. Методология и организация на статистическите изследвания, провеждани от Дирекция „Демографска и социална статистика” на НСИ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Методология и организация на преброяване на населението</w:t>
              <w:br/>
              <w:t xml:space="preserve">2. Методология и организация на текущата демографска статистика</w:t>
              <w:br/>
              <w:t xml:space="preserve">3. Методология и организация на статистиката на образованието</w:t>
              <w:br/>
              <w:t xml:space="preserve">4. Методология и организация на статистическото изучаване на бюджетите на домакинствата</w:t>
              <w:br/>
              <w:t xml:space="preserve">5. Методология на статистиката на общественото здраве и безопасни условия на труд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III. Методология и организация на статистическите изследвания, провеждани от Дирекция „Бизнес статистика” на НСИ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Методология и организация на краткосрочната бизнес статистика</w:t>
              <w:br/>
              <w:t xml:space="preserve">2. Методология и организация на структурната бизнес статистика</w:t>
              <w:br/>
              <w:t xml:space="preserve">3. Методология и организация на статистическите изследвания на инвестициите</w:t>
              <w:br/>
              <w:t xml:space="preserve">4. Методология и организация на статистиката на туризма</w:t>
              <w:br/>
              <w:t xml:space="preserve">5. Методология и организация на статистиката на външната търговия</w:t>
              <w:br/>
              <w:t xml:space="preserve">6. Методология и организация на изследването за използването на информационно-комуникационните технологии в предприятията и домакинствата</w:t>
              <w:br/>
              <w:t xml:space="preserve">7. Методология и организация на изследването на наблюдението на работната сила</w:t>
              <w:br/>
              <w:t xml:space="preserve">8. Методология и организация на наблюдението на наетите лица, отработеното време, средствата за работна заплата и други разходи за труд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IV. Методология и организация на статистическите изследвания, провеждани от Дирекция „Макроикономическа статистика”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Методология и организация на изследването на брутния вътрешен продукт</w:t>
              <w:br/>
              <w:t xml:space="preserve">2. Методология и организация на наблюдението на индекса на потребителските цени и инфлацията</w:t>
              <w:br/>
              <w:t xml:space="preserve">3. Методология и организация на изучаването на околната среда</w:t>
              <w:br/>
              <w:t xml:space="preserve">4. Методология и организация на изучаването на енергетиката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V. Методология и организация на статистическите изследвания в земеделието, провеждани от отдел “Агростатистика” на Министерството на земеделието, храните и горите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Обща характеристика на наблюденията в земеделието</w:t>
              <w:br/>
              <w:t xml:space="preserve">2. Планиране, организация и провеждане на преброяването на земеделските стопанства</w:t>
              <w:br/>
              <w:t xml:space="preserve">3. Методология и организация на статистическите изследвания на земята и земеползването</w:t>
              <w:br/>
              <w:t xml:space="preserve">4. Методология и организация на статистическите изследвания на растениевъдството</w:t>
              <w:br/>
              <w:t xml:space="preserve">5. Методология и организация на статистическите изследвания на животновъдството</w:t>
              <w:br/>
              <w:t xml:space="preserve">6. Методология и организация на статистическите изследвания на трайните насаждения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VI. Дейност на Дирекция “Статистика” в БНБ и на статистическите отдели на търговските банки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Методология и организация на паричната и на лихвената статистика</w:t>
              <w:br/>
              <w:t xml:space="preserve">2. Методология и организация на статистиката на платежния баланс</w:t>
              <w:br/>
              <w:t xml:space="preserve">3. Методология и организация на статистиката на преките чуждестранни инвестиции</w:t>
              <w:br/>
              <w:t xml:space="preserve">4. Методология на статистиката на брутния външен дълг</w:t>
              <w:br/>
              <w:t xml:space="preserve">5. Организация на статистическата дейност в търговските банки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VII. Организация на статистическата дейност в Националния център по обществено здраве и анализи, Регионалните здравни инспекции и многопрофилните болници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Методология и организация на статистиката на заболеваемостта и смъртността на населението</w:t>
              <w:br/>
              <w:t xml:space="preserve">2. Методология и организация на статистиката на здравната мрежа и на медицинския персонал</w:t>
              <w:br/>
              <w:t xml:space="preserve">3. Проучване на дейността и участието на Дирекциите "Медицински дейности" на регионалните здравни инспекции и организацията на статистическата дейност в многопрофилните болници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VIII. Oрганизация на статистическата дейност в Агенцията по заетостта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Организация на статистическата дейност в Дирекции ”Бюра по труда”</w:t>
              <w:br/>
              <w:t xml:space="preserve">2. Методология и организация на статистиката на заетите лица, безработните лица и свободните работни места</w:t>
              <w:br/>
              <w:t xml:space="preserve">3. Статистически анализи и публикации на Агенцията по заетостта - структура, показатели, обхват, признаци и приложимост на резултатите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IX. Организация на статистическата дейност на Главна дирекция “Гражданска регистрация и административно обслужване”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Същност и класификатори в Единната Система за Гражданска Регистрация и Административно Обслужване на Населението (ЕСГРАОН)</w:t>
              <w:br/>
              <w:t xml:space="preserve">2. Организация на Националните бази данни</w:t>
              <w:br/>
              <w:t xml:space="preserve">3. Организация на Регионалните бази данни</w:t>
            </w:r>
          </w:p>
        </w:tc>
      </w:tr>
    </w:tbl>
    <w:p w14:paraId="2D16DD39" w14:textId="77777777" w:rsidR="00E018D7" w:rsidRPr="00DB7127" w:rsidRDefault="00E018D7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8BA0B98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Маргарита Шопова)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8BA0B98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Евгени Овчинников)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Петков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3F43F" w14:textId="77777777" w:rsidR="00AD43E9" w:rsidRDefault="00AD43E9">
      <w:r>
        <w:separator/>
      </w:r>
    </w:p>
  </w:endnote>
  <w:endnote w:type="continuationSeparator" w:id="0">
    <w:p w14:paraId="20152407" w14:textId="77777777" w:rsidR="00AD43E9" w:rsidRDefault="00AD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015A3" w14:textId="77777777" w:rsidR="00AD43E9" w:rsidRDefault="00AD43E9">
      <w:r>
        <w:separator/>
      </w:r>
    </w:p>
  </w:footnote>
  <w:footnote w:type="continuationSeparator" w:id="0">
    <w:p w14:paraId="1DBA5F6B" w14:textId="77777777" w:rsidR="00AD43E9" w:rsidRDefault="00AD4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D43E9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36BA5"/>
    <w:multiLevelType w:val="hybridMultilevel"/>
    <w:tmpl w:val="EEEEA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BB6"/>
    <w:multiLevelType w:val="hybridMultilevel"/>
    <w:tmpl w:val="EE085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23F4B"/>
    <w:multiLevelType w:val="hybridMultilevel"/>
    <w:tmpl w:val="B77817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220411"/>
    <w:multiLevelType w:val="hybridMultilevel"/>
    <w:tmpl w:val="22184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10BBF"/>
    <w:multiLevelType w:val="multilevel"/>
    <w:tmpl w:val="DFAA0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B1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0BC"/>
    <w:rsid w:val="0028710D"/>
    <w:rsid w:val="002944F7"/>
    <w:rsid w:val="00295F94"/>
    <w:rsid w:val="002A706D"/>
    <w:rsid w:val="002A7805"/>
    <w:rsid w:val="002B00E2"/>
    <w:rsid w:val="002B255E"/>
    <w:rsid w:val="002B2CB9"/>
    <w:rsid w:val="002B792A"/>
    <w:rsid w:val="002D6839"/>
    <w:rsid w:val="002E1408"/>
    <w:rsid w:val="002E4701"/>
    <w:rsid w:val="002E5D93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4A48"/>
    <w:rsid w:val="003753DC"/>
    <w:rsid w:val="00382F94"/>
    <w:rsid w:val="00390CF2"/>
    <w:rsid w:val="0039729B"/>
    <w:rsid w:val="00397EEA"/>
    <w:rsid w:val="003C2930"/>
    <w:rsid w:val="003C3856"/>
    <w:rsid w:val="003C69C4"/>
    <w:rsid w:val="003D232B"/>
    <w:rsid w:val="003D2FD1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352D9"/>
    <w:rsid w:val="00541760"/>
    <w:rsid w:val="00543E36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C25F9"/>
    <w:rsid w:val="005D1AD9"/>
    <w:rsid w:val="005D2229"/>
    <w:rsid w:val="005D25B2"/>
    <w:rsid w:val="005D6DE9"/>
    <w:rsid w:val="005E37FF"/>
    <w:rsid w:val="005E448E"/>
    <w:rsid w:val="005E5DF5"/>
    <w:rsid w:val="005F618F"/>
    <w:rsid w:val="00603B07"/>
    <w:rsid w:val="006063F8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5A1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21D83"/>
    <w:rsid w:val="008308C4"/>
    <w:rsid w:val="008318C5"/>
    <w:rsid w:val="00831D30"/>
    <w:rsid w:val="00844C87"/>
    <w:rsid w:val="00845130"/>
    <w:rsid w:val="00850D27"/>
    <w:rsid w:val="00851011"/>
    <w:rsid w:val="00851A48"/>
    <w:rsid w:val="008564BE"/>
    <w:rsid w:val="00861C59"/>
    <w:rsid w:val="00865DDB"/>
    <w:rsid w:val="0087237F"/>
    <w:rsid w:val="00872565"/>
    <w:rsid w:val="008742B5"/>
    <w:rsid w:val="00880DFD"/>
    <w:rsid w:val="00883BC3"/>
    <w:rsid w:val="008919B1"/>
    <w:rsid w:val="008A501D"/>
    <w:rsid w:val="008B7886"/>
    <w:rsid w:val="008D04AA"/>
    <w:rsid w:val="008D2878"/>
    <w:rsid w:val="008D3DCC"/>
    <w:rsid w:val="008D41D4"/>
    <w:rsid w:val="008D4D57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1AF2"/>
    <w:rsid w:val="009A2BE9"/>
    <w:rsid w:val="009A5E3B"/>
    <w:rsid w:val="009A78F9"/>
    <w:rsid w:val="009B4214"/>
    <w:rsid w:val="009C5AF9"/>
    <w:rsid w:val="009D29A3"/>
    <w:rsid w:val="009D6616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0CAC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D43E9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861C6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1230"/>
    <w:rsid w:val="00D362F7"/>
    <w:rsid w:val="00D37899"/>
    <w:rsid w:val="00D401A5"/>
    <w:rsid w:val="00D41868"/>
    <w:rsid w:val="00D459E6"/>
    <w:rsid w:val="00D51C4C"/>
    <w:rsid w:val="00D612A5"/>
    <w:rsid w:val="00D675F5"/>
    <w:rsid w:val="00D7125E"/>
    <w:rsid w:val="00D77BC3"/>
    <w:rsid w:val="00D80EF8"/>
    <w:rsid w:val="00D841F2"/>
    <w:rsid w:val="00D84D15"/>
    <w:rsid w:val="00D935B9"/>
    <w:rsid w:val="00DB7127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18D7"/>
    <w:rsid w:val="00E25809"/>
    <w:rsid w:val="00E26DC1"/>
    <w:rsid w:val="00E31CB3"/>
    <w:rsid w:val="00E3292D"/>
    <w:rsid w:val="00E36754"/>
    <w:rsid w:val="00E44433"/>
    <w:rsid w:val="00E447A2"/>
    <w:rsid w:val="00E44EE8"/>
    <w:rsid w:val="00E51552"/>
    <w:rsid w:val="00E52EDC"/>
    <w:rsid w:val="00E55045"/>
    <w:rsid w:val="00E55385"/>
    <w:rsid w:val="00E671AD"/>
    <w:rsid w:val="00E708FF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00F5"/>
    <w:rsid w:val="00F63D9E"/>
    <w:rsid w:val="00F70126"/>
    <w:rsid w:val="00F72C6F"/>
    <w:rsid w:val="00F76B7C"/>
    <w:rsid w:val="00F82B9F"/>
    <w:rsid w:val="00F83B86"/>
    <w:rsid w:val="00F8638C"/>
    <w:rsid w:val="00F8768F"/>
    <w:rsid w:val="00FA03AB"/>
    <w:rsid w:val="00FA0DEA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4747</TotalTime>
  <Pages>3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116</cp:revision>
  <cp:lastPrinted>2008-05-31T10:14:00Z</cp:lastPrinted>
  <dcterms:created xsi:type="dcterms:W3CDTF">2022-10-17T08:46:00Z</dcterms:created>
  <dcterms:modified xsi:type="dcterms:W3CDTF">2024-11-14T05:54:00Z</dcterms:modified>
</cp:coreProperties>
</file>