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СТОПАНСКА ОТЧЕТНОСТ</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СЧЕТОВОДНА ОТЧЕТНОСТ</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Маргарита Шопова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7</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16.12.2024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8</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13.12.2024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Магистърски практикум по Счетоводство и одит в банките</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ФСО-КСО-М-891</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3</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ФСО-КСО-М-891</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v.02/2024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28</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14</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28</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14</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7</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14</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7</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14</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47</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61</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47</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24</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31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24</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23</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30</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23</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23</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30</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23</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75</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75</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75</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40%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40%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60%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комплексно оценяване</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Дипломирането на обучаваните студенти в МП „Счетоводство и одит в банките“ може да се извърши чрез държавен изпит или чрез разработване и защита на дипломна работа. При избор на опцията „държавен изпит“ студентът задължително следва да положи изпит по дисциплината „Магистърски практикум по Счетоводство и одит в банките”. В тази дисциплина се акцентира на  практическата приложимост на придобитите по време на обучението теоретични знания в областта на счетоводството и одита в банките.  Тя се явява и подготовка за полагането на държавния изпит.</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Студентите следва да имат натрупани фундаментални общоикономически знания и специализирани знания и умения в областта на счетоводството и одита в банките, които да умеят да прилагат в нови и непознати условия.</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Новите знания по дисциплината ще се получават чрез лекции и семинарни занятия, работа в академичната библиотека и в Интернет, решаване на счетоводни казуси от банковата практика, ролеви игри, разработване и обсъждане на курсови проекти и доклади, академични дискусии. Оценяването на студентите се осъществява чрез семестриални контролни работи и курсово задание (семестриален комплексен казус).</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При осигуряването на учебния процес в дистанционното обучение се използва системата за електронно обучение с отворен код Moodle. Студентите и преподавателите в курса имат възможност да обсъждат въпроси, свързани с учебното съдържание и провеждането на учебните занятия във форум; да осъществяват комуникация в реално време чрез чат; да използват модули за виртуални класни стаи, които позволяват интегрирането на аудио-визуална комуникация в курса. Оценяването на студентите се осъществява чрез курсово задание (семестриален комплексен казус). Подготовката му изисква предварителна самостоятелна работа с нормативни документи и учебна литература и анализиране на счетоводна информация. Студентите предават курсовите задания в електронен вид като веднага получат потвърждение, че работата им е съхранена в системата, а също така виждат и оценките, поставени от преподавателя.</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След изучаване на дисциплината „Магистърски практикум по Счетоводство и одит в банките” студентите ще имат задълбочени знания и практически умения: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за правилата и изискванията при осъществяването на текущия счетоводно-отчетен процес за извършваните от банките стопански операции и представянето на информацията за тях във финансовите им отчети, регламентирани в действащите нормативни актове по счетоводство и приложимите счетоводни стандарти;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за организационно-технологичните особености на независимия финансов одит, който се осъществява на практика от регистрираните одитори;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счетоводно да интерпретират извършваните от банките операции на кредитния, капиталовия и паричния пазар и при платежното посредничество като прилагат МСС/МСФО и примерен банков сметкоплан и да представят информацията за тях във финансовия отчет;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решават сложни счетоводни казуси от банковата практика като прилагат натрупаните теоретични и практико-приложни знания;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систематизират, групират и анализират данните от счетоводната отчетност;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използват, създадената от счетоводството на банките информация за подготовка, обосноваване и вземане на управленски решения.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Дисциплината развива у студентите компетентности: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за самостоятелност и отговорност при обучението;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събират, класифицират, оценяват и интерпретират данни от различни източници с цел решаване на конкретни задачи;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прилагат придобитите знания и умения в нови или непознати условия;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аргументират изводи и собствено виждане по проблемите на счетоводството и одита в банките, както и на предложения за усъвършенстване на счетоводно-отчетния процес за различни отчетни обекти в банките и др.;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и излагат свободно идеи, проблеми и решения пред компетентна аудитория.</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Сходни дисциплини са включени в учебните планове на счетоводните магистърски програми в редица университети в страната и чужбина, сред които: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 Икономически университет Варна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 London School of Economics and Political Science, London, United Kingdom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3. Stockholm School of Economics,  Stockholm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4. Финансовый университет при Правительстве Российской Федерации, Москва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5. Государственный институт экономики, финансов, права и технологий, Русия, Ленинградская область, г. Гатчина</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Счетоводни стандарти за финансово отчитане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Хармонизация и стандартизация на счетоводството – необходимост и развитие
</w:t>
              <w:br/>
              <w:t xml:space="preserve">2. Системата Международни счетоводни стандарти / Международни стандарти за финансово отчитане – същност и елементи
</w:t>
              <w:br/>
              <w:t xml:space="preserve">3. Концепции за капитала, поддържането му и определяне на печалбата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Счетоводно отчитане на капитала, пасивите, активите, приходите и разходите в банките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Организация на счетоводно-отчетния процес за собствения банков капитал
</w:t>
              <w:br/>
              <w:t xml:space="preserve">2. Организация на счетоводно-отчетния процес за привлечения банков капитал
</w:t>
              <w:br/>
              <w:t xml:space="preserve">3. Организация на счетоводно-отчетния процес за финансовите активи в банките
</w:t>
              <w:br/>
              <w:t xml:space="preserve">4. Организация на счетоводно-отчетния процес за предоставените кредити 
</w:t>
              <w:br/>
              <w:t xml:space="preserve">5. Организация на счетоводно-отчетния процес за емисионно-касовите операции в банките
</w:t>
              <w:br/>
              <w:t xml:space="preserve">6. Организация на счетоводно-отчетния процес за приходите в банките
</w:t>
              <w:br/>
              <w:t xml:space="preserve">7. Организация на счетоводно-отчетния процес за разходите в банките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III. Счетоводно отчитане на  безналичните разплащания в страната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Счетоводно отчитане на платежните операции с използване на кредитен превод
</w:t>
              <w:br/>
              <w:t xml:space="preserve">2. Счетоводно отчитане на платежните операции с използване на директен дебит
</w:t>
              <w:br/>
              <w:t xml:space="preserve">3. Счетоводно отчитане изпълнението на платежни операции чрез банкови платежни карти
</w:t>
              <w:br/>
              <w:t xml:space="preserve">4. Счетоводно отчитане на разплащанията с акредитиви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Счетоводно отчитане на презграничните преводи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Счетоводно отчитане на разплащанията чрез SEPA платежни инструменти
</w:t>
              <w:br/>
              <w:t xml:space="preserve">2. Счетоводно отчитане на презграничните плащанията с кредитен превод
</w:t>
              <w:br/>
              <w:t xml:space="preserve">3. Счетоводно отчитане на презграничните плащанията с документарно инкасо
</w:t>
              <w:br/>
              <w:t xml:space="preserve">4. Счетоводно отчитане на презграничните плащанията с документарни акредитиви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Счетоводна политика на банките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Разработване, промени и оповестяване на счетоводната политика на банките
</w:t>
              <w:br/>
              <w:t xml:space="preserve">2. Разработване на счетоводна политика на БНБ
</w:t>
              <w:br/>
              <w:t xml:space="preserve">3. Разработване на счетоводна политика на търговска банка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 Счетоводен анализ на банките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Организация на счетоводния анализ
</w:t>
              <w:br/>
              <w:t xml:space="preserve">2. Счетоводен анализ на финансовите отчети на търговските банки
</w:t>
              <w:br/>
              <w:t xml:space="preserve">3. Насоки за усъвършенстване на счетоводния анализ на другите посреднически операции и резултатите от дейността на банките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 Одит на финансовите отчети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Нормативно регулиране на независимия финансов одит в България
</w:t>
              <w:br/>
              <w:t xml:space="preserve">2. Международни одиторски стандарти– обща характеристика
</w:t>
              <w:br/>
              <w:t xml:space="preserve">3. Права, задължения и отговорности на регистрираните одитори в България
</w:t>
              <w:br/>
              <w:t xml:space="preserve">4. Общи принципи, обхват и основни фази (етапи) на одита от външен регистриран одитор</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7</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7</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14</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14</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по „Банково счетоводство“ в платформата за дистанционно обучение на СА „Д. А. Ценов“, https://dl.uni-svishtov.bg/course/view.php?id=3225</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Учебен курс по „Банково посредничество (счетоводни аспекти)“ в платформата за дистанционно обучение на СА „Д. А. Ценов“, https://dl.uni-svishtov.bg/course/view.php?id=3223</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3. </w:t>
            </w:r>
            <w:r w:rsidR="007C6374">
              <w:rPr>
                <w:rFonts w:ascii="Times New Roman" w:hAnsi="Times New Roman"/>
                <w:bCs/>
                <w:color w:val="222222"/>
                <w:spacing w:val="-7"/>
                <w:sz w:val="24"/>
                <w:szCs w:val="24"/>
              </w:rPr>
              <w:t>Учебен курс по „Счетоводна политика на банките“ в платформата за дистанционно обучение на СА „Д. А. Ценов“, https://dl.uni-svishtov.bg/course/view.php?id=3795</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4. </w:t>
            </w:r>
            <w:r w:rsidR="007C6374">
              <w:rPr>
                <w:rFonts w:ascii="Times New Roman" w:hAnsi="Times New Roman"/>
                <w:bCs/>
                <w:color w:val="222222"/>
                <w:spacing w:val="-7"/>
                <w:sz w:val="24"/>
                <w:szCs w:val="24"/>
              </w:rPr>
              <w:t>Учебен курс по „Счетоводен анализ на банките“ в платформата за дистанционно обучение на СА „Д. А. Ценов“,https://dl.uni-svishtov.bg/course/view.php?id=3785</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5. </w:t>
            </w:r>
            <w:r w:rsidR="007C6374">
              <w:rPr>
                <w:rFonts w:ascii="Times New Roman" w:hAnsi="Times New Roman"/>
                <w:bCs/>
                <w:color w:val="222222"/>
                <w:spacing w:val="-7"/>
                <w:sz w:val="24"/>
                <w:szCs w:val="24"/>
              </w:rPr>
              <w:t>Учебен курс по „Счетоводни концепции и стандарти“ в платформата за дистанционно обучение на СА „Д. А. Ценов“, https://dl.uni-svishtov.bg/course/view.php?id=3801</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6. </w:t>
            </w:r>
            <w:r w:rsidR="007C6374">
              <w:rPr>
                <w:rFonts w:ascii="Times New Roman" w:hAnsi="Times New Roman"/>
                <w:bCs/>
                <w:color w:val="222222"/>
                <w:spacing w:val="-7"/>
                <w:sz w:val="24"/>
                <w:szCs w:val="24"/>
              </w:rPr>
              <w:t>Учебен курс по „Одит на финансовите отчети“ в платформата за дистанционно обучение на СА „Д. А. Ценов“, https://dl.uni-svishtov.bg/course/view.php?id=3593</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7. </w:t>
            </w:r>
            <w:r w:rsidR="007C6374">
              <w:rPr>
                <w:rFonts w:ascii="Times New Roman" w:hAnsi="Times New Roman"/>
                <w:bCs/>
                <w:color w:val="222222"/>
                <w:spacing w:val="-7"/>
                <w:sz w:val="24"/>
                <w:szCs w:val="24"/>
              </w:rPr>
              <w:t>Папраданова, Диана и др. Банково счетоводство / Диана Папраданова, Венцислав Вечев, - Свищов: АИ Ценов, 2024, ISBN: 978-954-23-2457-7</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8. </w:t>
            </w:r>
            <w:r w:rsidR="007C6374">
              <w:rPr>
                <w:rFonts w:ascii="Times New Roman" w:hAnsi="Times New Roman"/>
                <w:bCs/>
                <w:color w:val="222222"/>
                <w:spacing w:val="-7"/>
                <w:sz w:val="24"/>
                <w:szCs w:val="24"/>
              </w:rPr>
              <w:t>Ималова, Диана и др. Банково счетоводство : [Учебно-методическо пособие] / Диана Ималова, Валерий Александров, Венцислав Вечев. - 2. прераб. и доп. изд. . - Свищов : АИ Ценов, 2013</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9. </w:t>
            </w:r>
            <w:r w:rsidR="007C6374">
              <w:rPr>
                <w:rFonts w:ascii="Times New Roman" w:hAnsi="Times New Roman"/>
                <w:bCs/>
                <w:color w:val="222222"/>
                <w:spacing w:val="-7"/>
                <w:sz w:val="24"/>
                <w:szCs w:val="24"/>
              </w:rPr>
              <w:t>Божков, В., Симеонова, Р. и Крумова, Д. Счетоводни концепции и стандарти. Свищов, АИ „Ценов“, 2022</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10. </w:t>
            </w:r>
            <w:r w:rsidR="007C6374">
              <w:rPr>
                <w:rFonts w:ascii="Times New Roman" w:hAnsi="Times New Roman"/>
                <w:bCs/>
                <w:color w:val="222222"/>
                <w:spacing w:val="-7"/>
                <w:sz w:val="24"/>
                <w:szCs w:val="24"/>
              </w:rPr>
              <w:t>Банково посредничество (Счетоводни аспекти) : Уч. пособ. за дист. обуч. / Васил Богомилов Меразчиев, Диана Ималова, Венцислав Вечев .  Свищов : АИ Ценов, 2024 . - 150 с.    ISBN 978-954-23-2517-8</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11. </w:t>
            </w:r>
            <w:r w:rsidR="007C6374">
              <w:rPr>
                <w:rFonts w:ascii="Times New Roman" w:hAnsi="Times New Roman"/>
                <w:bCs/>
                <w:color w:val="222222"/>
                <w:spacing w:val="-7"/>
                <w:sz w:val="24"/>
                <w:szCs w:val="24"/>
              </w:rPr>
              <w:t>Меразчиев, В. и Папраданова, Д. Счетоводна политика на банките. - Свищов : АИ Ценов, 2022</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12. </w:t>
            </w:r>
            <w:r w:rsidR="007C6374">
              <w:rPr>
                <w:rFonts w:ascii="Times New Roman" w:hAnsi="Times New Roman"/>
                <w:bCs/>
                <w:color w:val="222222"/>
                <w:spacing w:val="-7"/>
                <w:sz w:val="24"/>
                <w:szCs w:val="24"/>
              </w:rPr>
              <w:t>Йотова, Й., Вечев, В. и Кънева, Т. Счетоводен анализ на банките. - Свищов : АИ Ценов, 2022</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13. </w:t>
            </w:r>
            <w:r w:rsidR="007C6374">
              <w:rPr>
                <w:rFonts w:ascii="Times New Roman" w:hAnsi="Times New Roman"/>
                <w:bCs/>
                <w:color w:val="222222"/>
                <w:spacing w:val="-7"/>
                <w:sz w:val="24"/>
                <w:szCs w:val="24"/>
              </w:rPr>
              <w:t>Атанасов, Атанас и др.    Одит на финансовите отчети : Учебник : Център за дистанционно обучение / Атанас Атанасов, Галя Иванова-Кузманова, Станислав Александров . - Свищов : АИ Ценов, 2023 . - 187 с. ; ISBN 978-954-23-2329-7</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Наръчник по банково счетоводство, С., ЦУ на БНБ, КУБС, 1993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Списание „Счетоводство плюс Данъци, Социални отношения”</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Списание „Актив”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Списание „Счетоводна политика”</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Списание „Български законник”</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Списание ИДЕС</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Стоянов, Стоян Димитров и др. Банково счетоводство / Стоян Стоянов, Снежана Башева, Даниела Фесчиян, Радка Андасарова . - София : Издателски комплекс – УНСС, 2018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Костова, Надя и др. Счетоводство на банките. Надя Костова, Надежда Попова – Йосифова, Петко Захариев, Румяна Маринова. Издателство „Наука и икономика“, Варна, 2019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Вейсел, Али. Одитинг (финансов одит). - София : Сиела, 2017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Фесчиян, Даниела, и др. Стандартизирани модели за счетоводно отразяване на финансовите активи в банките// Даниела Фесчиян, Атанаска Филипова-Сланчева, Радка Андасарова, Ясен Даскалов. ИДЕС , бр. 3/2017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Сланчева-Филипова, Атанаска. Финансови отчети на банките – Регламенти и анализи. ИК –УНСС, София, 2018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Попова-Йосифова, Надежда. Прозрачността на информацията в годишните финансови отчети на банките в България. Издателство „Наука и икономика“, Варна, 2018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Сланчева-Филипова, Атанаска. Предизвикателства пред счетоводството и анализа в банките от промени в приложимата правна рамка// Годишник   на  ИДЕС, София, 2018</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Закон за счетоводството</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Приложими Международни счетоводни стандарти/Международни стандарти за финансово отчитане - Регламент (ЕО) № 1126/2008 за приемане на някои международни счетоводни стандарти в съответствие с Регламент (ЕО) № 1606/2002 на Европейския парламент и на Съвета, Регламент (ЕС) 2021/2036 на Комисията от 19 ноември 2021 година за изменение на Регламент (ЕО) № 1126/2008 за приемане на някои международни счетоводни стандарти в съответствие с Регламент (ЕО) № 1606/2002 на Европейския парламент и на Съвета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Приложими Международни одиторски стандарти</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Закон за българската народна банка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Закон за кредитните институции</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Закон за гарантиране на влоговете в банките</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Закон за покритите облигации</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Закон за независимия финансов одит</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Закон за платежните услуги и платежните системи</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Наредба № 3 на БНБ от 18 април 2018 г. за условията и реда за откриване на платежни сметки, за изпълнение на платежни операции и за използване на платежни инструменти</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Наредба № 7 на БНБ от 24 април 2014 г. за организацията и управлението на рисковете в банките</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Наредба № 8 на БНБ от 27 април 2021 г. за капиталовите буфери, комбинираното изискване за буфер, ограниченията върху разпределенията и препоръката за допълнителен собствен капитал</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Наредба № 11 на БНБ от 1 март 2007 г. за управлението и надзора върху ликвидността на банките</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Наредба № 13 на БНБ от 18 август 2016 г. за прилагането на международен номер на банкова сметка и за БАЕ кодове</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Регламент (ЕС) № 575/2013 на Европейския парламент и на Съвета от 26 юни 2013 година относно пруденциалните изисквания за кредитните институции и инвестиционните посредници и за изменение на Регламент (ЕС) № 648/2012</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16. </w:t>
            </w:r>
            <w:r>
              <w:rPr>
                <w:rFonts w:ascii="Times New Roman" w:hAnsi="Times New Roman"/>
                <w:bCs/>
                <w:color w:val="222222"/>
                <w:spacing w:val="-7"/>
                <w:sz w:val="24"/>
                <w:szCs w:val="24"/>
              </w:rPr>
              <w:t>Ръководство по Международни стандарти за контрол върху качеството, одит, преглед, други ангажименти за изразяване на сигурност и свързани по съдържание услуги, издание 2018 на International Auditing and Assurance Standards Board (IAASB), публикувано от International Federation of Accountants (IFAC), през декември 2018 г. на английски език, преведено на български език от Института на дипломираните експерт-счетоводители в България през април 2019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17. </w:t>
            </w:r>
            <w:r>
              <w:rPr>
                <w:rFonts w:ascii="Times New Roman" w:hAnsi="Times New Roman"/>
                <w:bCs/>
                <w:color w:val="222222"/>
                <w:spacing w:val="-7"/>
                <w:sz w:val="24"/>
                <w:szCs w:val="24"/>
              </w:rPr>
              <w:t>Директива 2013/34/ЕС на Европейския парламент и на Съвета от 26 юни 2013 година относно годишните финансови отчети, консолидираните финансови отчети и свързаните доклади на някои видове предприятия и за изменение на Директива 2006/43/ЕО на Европейския парламент и на Съвета и за отмяна на Директиви 78/660/ЕИО и 83/349/ЕИО на Съвета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18. </w:t>
            </w:r>
            <w:r>
              <w:rPr>
                <w:rFonts w:ascii="Times New Roman" w:hAnsi="Times New Roman"/>
                <w:bCs/>
                <w:color w:val="222222"/>
                <w:spacing w:val="-7"/>
                <w:sz w:val="24"/>
                <w:szCs w:val="24"/>
              </w:rPr>
              <w:t>Регламент (ЕС) № 537/2014 на Европейския парламент и на Съвета от 16 април 2014 година относно специфични изисквания по отношение на задължителния одит на предприятия от обществен интерес и за отмяна на Решение 2005/909/ЕО на Комисията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19. </w:t>
            </w:r>
            <w:r>
              <w:rPr>
                <w:rFonts w:ascii="Times New Roman" w:hAnsi="Times New Roman"/>
                <w:bCs/>
                <w:color w:val="222222"/>
                <w:spacing w:val="-7"/>
                <w:sz w:val="24"/>
                <w:szCs w:val="24"/>
              </w:rPr>
              <w:t>Ръководство по етичен кодекс за професионални счетоводители, издание 2018 на International Ethics Standards Board for Accountants (IESBA), публикувано от International Federation of Accountants (IFAC) през август 2018 г. на английски език, преведено на български език от Института на дипломираните експерт-счетоводители в България през ноември 2018 г.</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www.bnb.bg - Официална интернет страница на Българската народна банка</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www.ifrs.org -  Официална интернет страницана Съвета по международни стандарти за финансово отчитане</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www.ides.bg - Официална интернет страница на ИДЕС</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www.ifac.org - Официална интернет страница на Международната федерация на счетоводителите</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Диана Папраданова)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Венцислав Вечев)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проф. д-р Атанас Атанасов)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Галя Иванова-Кузманова)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Диана Крумова)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Галина Чиприянова)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Станислав Александров)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Галина Чиприянова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