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Счетоводна политика на банките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комбинация от тест с въпроси от открит и закрит тип и решаване на счетоводен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„Счетоводна политика на банките“ е насочена към изучаване на научните, методологическите, методическите и приложните аспекти на формирането, промяната и оповестяването на счетоводната политика на банките. Целта на дисциплината е да се формират у студентите теоретични знания за същността и значението на счетоводната политика, и практически умения за разработване на рационална счетоводна политика на банково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специализиращ за студентите, което предполага те да имат натрупвания от знания по микро- и макроикономика, теория на счетоводството, теория на финансите и търговско право. Успешното усвояване на дисциплината предполага студентите да имат натрупани теоретични знания и практически умения и по банково счетоводство, организация и технология на счетоводството в банките и международни счетоводни стандарти.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директните стратегии за преподаване със съвременни индиректни и интерактивни стратегии и методи на преподаване, които поставят студентите в активна позиция и им дават възможност да развиват своето мислене, да вземат решения, да проявява креативност и да работят в екип. Новите знания се поднасят на студентите основно под формата на класически лекции, като се прилагат и съвременни форми за тяхното представяне с използване на мултимедийни презентации. В семинарните занятия студентите решават практически счетоводни казуси, дискутират по поставени по време на лекцията или от ръководителя на семинарните занятия проблеми и ситуационни казуси, работят с нормативни актове и документи, анализират счетоводна информация и изработват конкретни решения. Студентите разработват доклади по зададени от титуляря/консултанта теми, които се обсъждат по време на семинарните занятия.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Провеждат се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 и представяне на курсово задание. Електронните тестове може да включват разнообразни типове въпроси: стандартни, затворени въпроси с един или повече верни отговори;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са свързани с решаване на счетоводни казуси от банковата практика, изискващи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задания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„Счетоводна политика на банките”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банките като субект за реализация на счетоводна политика;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особеностите на счетоводната политика на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съдържанието на основните елементите на счетоводната политика на БНБ и търговските банки;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съдържанието на алтернативните методи на оценяване и отчитане на отделните видове активи, пасиви, приходи и разходи;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условията и начините за внасяне на промени в счетоводната политика на банките;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моделите за оповестяване на счетоводната политика на банките.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свободно да прилагат придобитите теоретични знания за формиране на счетоводна политика на банка;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ефективно да използват информационните източници, необходими за формирането на счетоводната политика;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алтернативни методи и техники за отчитане на някои видове активи, пасиви, приходи и разходи, да извършват критична оценка и избор на най-подходящите в зависимост от поставените цели.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обосновават икономическата целесъобразност и оптималността на избрания вариант на отчитане и да прогнозират резултатите от взетото решение;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разработват модел на счетоводна политика на банково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Сходни дисциплини са включени в учебните планове на счетоводните магистърски програми в редица университети в страната и чужбина, сред които: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Edinburgh Business School, Edinburgh, Scotland,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Санкт-Петербургский государственный экономический университет, Санкт-Петербург, Русия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Волгоградский государственный университет, г. Волгоград, Русия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Великотърновски университет „Св. Св. Кирил и Методий”, Велико Търново,България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Обща характеристика на счетоводната политика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1.1.	Същност на счетоводната политика</w:t>
              <w:br/>
              <w:t xml:space="preserve">1.2.	Видове счетоводна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Елементи на счетоводната политика 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2.1. Оценка на активи, пасиви и капитал</w:t>
              <w:br/>
              <w:t xml:space="preserve">2.2. Амортизационна политика</w:t>
              <w:br/>
              <w:t xml:space="preserve">2.3. Инвестиции на предприятието</w:t>
              <w:br/>
              <w:t xml:space="preserve">2.4. Договорни отношения</w:t>
              <w:br/>
              <w:t xml:space="preserve">2.5. Консолидационна политика</w:t>
              <w:br/>
              <w:t xml:space="preserve">2.6. Финансово планиране</w:t>
              <w:br/>
              <w:t xml:space="preserve">2.7. Анализ и текущ контрол на дейността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Разработване и оповестяване на счетоводна политика 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3.1. Разработване на счетоводната политика на предприятието</w:t>
              <w:br/>
              <w:t xml:space="preserve">3.1.1. Принципи за разработване на счетоводната политика на предприятието</w:t>
              <w:br/>
              <w:t xml:space="preserve">3.1.2. Информационна база за разработване на счетоводната политика на предприятието</w:t>
              <w:br/>
              <w:t xml:space="preserve">3.1.3. Структурен модел за счетоводна политика на предприятие</w:t>
              <w:br/>
              <w:t xml:space="preserve">3.2. Оповестяване на счетоводната политика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Обща характеристика на счетоводната политика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4.1. Банковото предприятие като обект и субект на счетоводно отчитане</w:t>
              <w:br/>
              <w:t xml:space="preserve">4.2. Счетоводната политика и банковата структура</w:t>
              <w:br/>
              <w:t xml:space="preserve">4.3. Общи параметри на счетоводната политика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Разработване, промени и оповестяване на счетоводната политика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5.1.	Основни етапи в разработването на счетоводната политика на банка </w:t>
              <w:br/>
              <w:t xml:space="preserve">5.2.	Промени в счетоводната политика</w:t>
              <w:br/>
              <w:t xml:space="preserve">5.3.	Оповестяване на счетоводната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Счетоводна политика на БНБ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6.1. Характеристика на БНБ като субект за реализация на счетоводна политика</w:t>
              <w:br/>
              <w:t xml:space="preserve">6.2. Елементи на счетоводната политика в БНБ</w:t>
              <w:br/>
              <w:t xml:space="preserve">6.2.1.	Оценка на активите, пасивите и капитала в БНБ</w:t>
              <w:br/>
              <w:t xml:space="preserve">6.2.2.	Амортизационна политика на БНБ</w:t>
              <w:br/>
              <w:t xml:space="preserve">6.2.3.	Инвестиционна политика на БНБ</w:t>
              <w:br/>
              <w:t xml:space="preserve">6.2.4.	Договорни отношения</w:t>
              <w:br/>
              <w:t xml:space="preserve">6.2.5.	Консолидационна политика</w:t>
              <w:br/>
              <w:t xml:space="preserve">6.2.6.	Финансово планиране</w:t>
              <w:br/>
              <w:t xml:space="preserve">6.2.7.	Анализ и текущ контрол на дейността на БНБ</w:t>
              <w:br/>
              <w:t xml:space="preserve">6.3. Модел на счетоводна политика на БНБ</w:t>
              <w:br/>
              <w:t xml:space="preserve">6.4. Оповестяване на счетоводната политика на БНБ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Счетоводна политика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7.1. Характеристика на търговските банки като субекти за реализация на счетоводната политика</w:t>
              <w:br/>
              <w:t xml:space="preserve">7.2. Елементи на счетоводната политика в търговските банки</w:t>
              <w:br/>
              <w:t xml:space="preserve">7.2.1.	Оценка на активите, пасивите и капитала в търговските банки</w:t>
              <w:br/>
              <w:t xml:space="preserve">7.2.2.	Амортизационна политика на търговските банки</w:t>
              <w:br/>
              <w:t xml:space="preserve">7.2.3.	Инвестиционна политика на търговските банки</w:t>
              <w:br/>
              <w:t xml:space="preserve">7.2.4.	Договорни отношения</w:t>
              <w:br/>
              <w:t xml:space="preserve">7.2.5.	Консолидационна политика</w:t>
              <w:br/>
              <w:t xml:space="preserve">7.2.6.	Финансово планиране</w:t>
              <w:br/>
              <w:t xml:space="preserve">7.2.7.	Анализ и текущ контрол на дейността на търговските банки</w:t>
              <w:br/>
              <w:t xml:space="preserve">7.3. Модел на счетоводна политика на търговска банка</w:t>
              <w:br/>
              <w:t xml:space="preserve">7.4. Оповестяване на счетоводната политика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"Счетоводна политика на банките" в Платформата за дистанционно и електронно обучение на СА "Д. А. Ценов", https://dl.uni-svishtov.bg/course/view.php?id=3795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Меразчиев, Васил и др. Счетоводна политика на банките : Учебно пособие за дистанционно обучение / Васил Меразчиев и Диана Ималова. - Свищов : АИ Ценов, 2017 . - 149 с. ISBN 978-954-23-1409-7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банково счетоводство, С., ЦУ на БНБ, КУБС,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аналитична отчетност в банките. София, ЦУ на БНБ,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Меразчиев, В. Съвременни теоретико-методологични проблеми на счетоводството в банките на Република България. Дисертация за присъждане на научна степен „доктор на икономическите науки” по научна специалност 05.02.07 „Счетоводна отчетност, контрол и анализ на стопанската дейност”, 316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Ем., Н. Орешаров. Счетоводна политика и финансови отчети на предприятието. София, Университетско издателство „Стопанство”, 2011, 413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З., Желязков, Д. Счетоводна политика на предприятието. Пловдив, Плутон – 1, 2003, 120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 Д., Н. Костова, Счетоводна политика на предприятието, ФорКом, 1995; 112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Диана и др. Банково счетоводство / Диана Папраданова, Венцислав Вечев, - Свищов: АИ Ценов, 2024, ISBN: 978-954-23-2457-7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стандарти/Международни стандарти за финансово отчитане - Регламент (ЕО) № 1126/2008 за приемане на някои международни счетоводни стандарти в съответствие с Регламент (ЕО) № 1606/2002 на Европейския парламент и на Съвета, Регламент (ЕС) 2021/2036 на Комисията от 19 ноември 2021 година за изменение на Регламент (ЕО) № 1126/2008 за приемане на някои международни счетоводни стандарти в съответствие с Регламент (ЕО) № 1606/2002 на Европейския парламент и на Съвета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на БНБ от 18 август 2016 г. за прилагането на международен номер на банкова сметка и за БАЕ кодове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