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КОНТРОЛ И АНАЛИЗ НА СТОПАНСКАТА ДЕЙНОСТ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3</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24.01.2023</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20.01.2023</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Държавен изпит по Финансов анализ и контрол</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ФСО-ККАСД-М-902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15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ФСО-ККАСД-М-902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v.01/2023</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0936259C" w:rsidR="00A34223"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7D4D7629" w14:textId="77777777" w:rsidR="009A1AF2" w:rsidRDefault="009A1AF2" w:rsidP="00A34223">
      <w:pPr>
        <w:spacing w:line="240" w:lineRule="exact"/>
        <w:jc w:val="both"/>
        <w:rPr>
          <w:rFonts w:ascii="Times New Roman" w:hAnsi="Times New Roman"/>
          <w:b/>
          <w:bCs/>
          <w:sz w:val="28"/>
          <w:szCs w:val="28"/>
          <w:lang w:val="bg-BG"/>
        </w:rPr>
      </w:pPr>
    </w:p>
    <w:tbl>
      <w:tblPr>
        <w:tblStyle w:val="TableGrid"/>
        <w:tblW w:w="0" w:type="auto"/>
        <w:tblInd w:w="279" w:type="dxa"/>
        <w:tblCellMar>
          <w:top w:w="57" w:type="dxa"/>
          <w:bottom w:w="57" w:type="dxa"/>
        </w:tblCellMar>
        <w:tblLook w:val="04A0" w:firstRow="1" w:lastRow="0" w:firstColumn="1" w:lastColumn="0" w:noHBand="0" w:noVBand="1"/>
      </w:tblPr>
      <w:tblGrid>
        <w:gridCol w:w="5528"/>
        <w:gridCol w:w="4955"/>
      </w:tblGrid>
      <w:tr w:rsidR="002E5D93" w14:paraId="0334B26F" w14:textId="77777777" w:rsidTr="009A1AF2">
        <w:tc>
          <w:tcPr>
            <w:tcW w:w="5528" w:type="dxa"/>
            <w:shd w:val="clear" w:color="auto" w:fill="D9D9D9" w:themeFill="background1" w:themeFillShade="D9"/>
            <w:vAlign w:val="center"/>
          </w:tcPr>
          <w:p w14:paraId="4143D0BA" w14:textId="42662DE5"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Учебна заетост</w:t>
            </w:r>
          </w:p>
        </w:tc>
        <w:tc>
          <w:tcPr>
            <w:tcW w:w="4955" w:type="dxa"/>
            <w:shd w:val="clear" w:color="auto" w:fill="D9D9D9" w:themeFill="background1" w:themeFillShade="D9"/>
            <w:vAlign w:val="center"/>
          </w:tcPr>
          <w:p w14:paraId="61AB49A2" w14:textId="19E56B0A"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Часове</w:t>
            </w:r>
          </w:p>
        </w:tc>
      </w:tr>
      <w:tr w:rsidR="002E5D93" w14:paraId="15371989" w14:textId="77777777" w:rsidTr="009A1AF2">
        <w:tc>
          <w:tcPr>
            <w:tcW w:w="5528" w:type="dxa"/>
            <w:vAlign w:val="center"/>
          </w:tcPr>
          <w:p w14:paraId="17ADF2FD" w14:textId="5A66E7D3" w:rsidR="002E5D93" w:rsidRPr="002E5D93" w:rsidRDefault="00C861C6" w:rsidP="009A1AF2">
            <w:pPr>
              <w:spacing w:line="240" w:lineRule="exact"/>
              <w:jc w:val="center"/>
              <w:rPr>
                <w:rFonts w:ascii="Times New Roman" w:hAnsi="Times New Roman"/>
                <w:b/>
                <w:bCs/>
                <w:sz w:val="24"/>
                <w:szCs w:val="24"/>
                <w:lang w:val="bg-BG"/>
              </w:rPr>
            </w:pPr>
            <w:proofErr w:type="spellStart"/>
            <w:r w:rsidRPr="00C861C6">
              <w:rPr>
                <w:rFonts w:ascii="Times New Roman" w:hAnsi="Times New Roman"/>
                <w:b/>
                <w:sz w:val="24"/>
                <w:szCs w:val="24"/>
              </w:rPr>
              <w:t>Извънаудиторна</w:t>
            </w:r>
            <w:proofErr w:type="spellEnd"/>
            <w:r w:rsidR="002E5D93">
              <w:rPr>
                <w:rFonts w:ascii="Times New Roman" w:hAnsi="Times New Roman"/>
                <w:b/>
                <w:bCs/>
                <w:sz w:val="24"/>
                <w:szCs w:val="24"/>
                <w:lang w:val="bg-BG"/>
              </w:rPr>
              <w:t xml:space="preserve"> заетост (ИАЗ)</w:t>
            </w:r>
          </w:p>
        </w:tc>
        <w:tc>
          <w:tcPr>
            <w:tcW w:w="4955" w:type="dxa"/>
            <w:vAlign w:val="center"/>
          </w:tcPr>
          <w:p w14:paraId="074FA344" w14:textId="77777777" w:rsidR="002E5D93" w:rsidRPr="002E5D93" w:rsidRDefault="002E5D93" w:rsidP="009A1AF2">
            <w:pPr>
              <w:spacing w:line="240" w:lineRule="exact"/>
              <w:jc w:val="center"/>
              <w:rPr>
                <w:rFonts w:ascii="Times New Roman" w:hAnsi="Times New Roman"/>
                <w:b/>
                <w:bCs/>
                <w:sz w:val="24"/>
                <w:szCs w:val="24"/>
                <w:lang w:val="bg-BG"/>
              </w:rPr>
            </w:pPr>
          </w:p>
        </w:tc>
      </w:tr>
      <w:tr w:rsidR="002E5D93" w14:paraId="13D7CF1E" w14:textId="77777777" w:rsidTr="009A1AF2">
        <w:tc>
          <w:tcPr>
            <w:tcW w:w="5528" w:type="dxa"/>
            <w:vAlign w:val="center"/>
          </w:tcPr>
          <w:p w14:paraId="7DDB4839" w14:textId="6DF3777B" w:rsidR="002E5D93" w:rsidRPr="009A1AF2" w:rsidRDefault="009A1AF2" w:rsidP="009A1AF2">
            <w:pPr>
              <w:pStyle w:val="ListParagraph"/>
              <w:numPr>
                <w:ilvl w:val="0"/>
                <w:numId w:val="12"/>
              </w:numPr>
              <w:spacing w:line="240" w:lineRule="exact"/>
              <w:rPr>
                <w:rFonts w:ascii="Times New Roman" w:hAnsi="Times New Roman"/>
                <w:bCs/>
                <w:sz w:val="24"/>
                <w:szCs w:val="24"/>
                <w:lang w:val="bg-BG"/>
              </w:rPr>
            </w:pPr>
            <w:r w:rsidRPr="009A1AF2">
              <w:rPr>
                <w:rFonts w:ascii="Times New Roman" w:hAnsi="Times New Roman"/>
                <w:bCs/>
                <w:sz w:val="24"/>
                <w:szCs w:val="24"/>
                <w:lang w:val="bg-BG"/>
              </w:rPr>
              <w:t>Самостоятелна работа</w:t>
            </w:r>
          </w:p>
        </w:tc>
        <w:tc>
          <w:tcPr>
            <w:tcW w:w="4955" w:type="dxa"/>
            <w:vAlign w:val="center"/>
          </w:tcPr>
          <w:p w14:paraId="606EC065" w14:textId="0294C7AC" w:rsidR="002E5D93" w:rsidRPr="00F600F5" w:rsidRDefault="002870BC" w:rsidP="009A1AF2">
            <w:pPr>
              <w:spacing w:line="240" w:lineRule="exact"/>
              <w:jc w:val="center"/>
              <w:rPr>
                <w:rFonts w:ascii="Times New Roman" w:hAnsi="Times New Roman"/>
                <w:bCs/>
                <w:sz w:val="24"/>
                <w:szCs w:val="24"/>
              </w:rPr>
            </w:pPr>
            <w:r w:rsidRPr="00F600F5">
              <w:rPr>
                <w:rFonts w:ascii="Times New Roman" w:hAnsi="Times New Roman"/>
                <w:bCs/>
                <w:sz w:val="24"/>
                <w:szCs w:val="24"/>
                <w:lang w:val="bg-BG"/>
              </w:rPr>
              <w:t>375</w:t>
            </w:r>
          </w:p>
        </w:tc>
      </w:tr>
      <w:tr w:rsidR="002E5D93" w14:paraId="3AB3DC8B" w14:textId="77777777" w:rsidTr="009A1AF2">
        <w:tc>
          <w:tcPr>
            <w:tcW w:w="5528" w:type="dxa"/>
            <w:vAlign w:val="center"/>
          </w:tcPr>
          <w:p w14:paraId="59315F01" w14:textId="5783ED19" w:rsidR="002E5D93" w:rsidRPr="009A1AF2" w:rsidRDefault="00487F0F" w:rsidP="009A1AF2">
            <w:pPr>
              <w:pStyle w:val="ListParagraph"/>
              <w:numPr>
                <w:ilvl w:val="0"/>
                <w:numId w:val="12"/>
              </w:numPr>
              <w:spacing w:line="240" w:lineRule="exact"/>
              <w:rPr>
                <w:rFonts w:ascii="Times New Roman" w:hAnsi="Times New Roman"/>
                <w:bCs/>
                <w:sz w:val="24"/>
                <w:szCs w:val="24"/>
                <w:lang w:val="bg-BG"/>
              </w:rPr>
            </w:pPr>
            <w:r w:rsidRPr="00487F0F">
              <w:rPr>
                <w:rFonts w:ascii="Times New Roman" w:hAnsi="Times New Roman" w:hint="eastAsia"/>
                <w:bCs/>
                <w:sz w:val="24"/>
                <w:szCs w:val="24"/>
                <w:lang w:val="bg-BG"/>
              </w:rPr>
              <w:t>Онлайн</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тестове</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модули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за</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самоподготовка</w:t>
            </w:r>
          </w:p>
        </w:tc>
        <w:tc>
          <w:tcPr>
            <w:tcW w:w="4955" w:type="dxa"/>
            <w:vAlign w:val="center"/>
          </w:tcPr>
          <w:p w14:paraId="5616908A" w14:textId="24678841" w:rsidR="002E5D93" w:rsidRPr="00F600F5" w:rsidRDefault="008D4D57" w:rsidP="009A1AF2">
            <w:pPr>
              <w:spacing w:line="240" w:lineRule="exact"/>
              <w:jc w:val="center"/>
              <w:rPr>
                <w:rFonts w:ascii="Times New Roman" w:hAnsi="Times New Roman"/>
                <w:bCs/>
                <w:sz w:val="24"/>
                <w:szCs w:val="24"/>
              </w:rPr>
            </w:pPr>
            <w:r w:rsidRPr="00F600F5">
              <w:rPr>
                <w:rFonts w:ascii="Times New Roman" w:hAnsi="Times New Roman"/>
                <w:bCs/>
                <w:sz w:val="24"/>
                <w:szCs w:val="24"/>
              </w:rPr>
              <w:t>0</w:t>
            </w:r>
          </w:p>
        </w:tc>
      </w:tr>
      <w:tr w:rsidR="002E5D93" w14:paraId="73D517D4" w14:textId="77777777" w:rsidTr="009A1AF2">
        <w:tc>
          <w:tcPr>
            <w:tcW w:w="5528" w:type="dxa"/>
            <w:shd w:val="clear" w:color="auto" w:fill="D9D9D9" w:themeFill="background1" w:themeFillShade="D9"/>
            <w:vAlign w:val="center"/>
          </w:tcPr>
          <w:p w14:paraId="2120953E" w14:textId="1E015EE7" w:rsidR="002E5D93" w:rsidRPr="00C861C6" w:rsidRDefault="009A1AF2" w:rsidP="00C861C6">
            <w:pPr>
              <w:spacing w:line="240" w:lineRule="exact"/>
              <w:ind w:left="1416"/>
              <w:jc w:val="right"/>
              <w:rPr>
                <w:rFonts w:ascii="Times New Roman" w:hAnsi="Times New Roman"/>
                <w:b/>
                <w:bCs/>
                <w:sz w:val="24"/>
                <w:szCs w:val="24"/>
              </w:rPr>
            </w:pPr>
            <w:r>
              <w:rPr>
                <w:rFonts w:ascii="Times New Roman" w:hAnsi="Times New Roman"/>
                <w:b/>
                <w:bCs/>
                <w:sz w:val="24"/>
                <w:szCs w:val="24"/>
                <w:lang w:val="bg-BG"/>
              </w:rPr>
              <w:t>Всички:</w:t>
            </w:r>
            <w:r w:rsidR="00C861C6">
              <w:rPr>
                <w:rFonts w:ascii="Times New Roman" w:hAnsi="Times New Roman"/>
                <w:b/>
                <w:bCs/>
                <w:sz w:val="24"/>
                <w:szCs w:val="24"/>
              </w:rPr>
              <w:t xml:space="preserve">  </w:t>
            </w:r>
          </w:p>
        </w:tc>
        <w:tc>
          <w:tcPr>
            <w:tcW w:w="4955" w:type="dxa"/>
            <w:shd w:val="clear" w:color="auto" w:fill="D9D9D9" w:themeFill="background1" w:themeFillShade="D9"/>
            <w:vAlign w:val="center"/>
          </w:tcPr>
          <w:p w14:paraId="7A0A2FB4" w14:textId="27FACEDD" w:rsidR="002E5D93" w:rsidRPr="008D4D57" w:rsidRDefault="008D4D57" w:rsidP="009A1AF2">
            <w:pPr>
              <w:spacing w:line="240" w:lineRule="exact"/>
              <w:jc w:val="center"/>
              <w:rPr>
                <w:rFonts w:ascii="Times New Roman" w:hAnsi="Times New Roman"/>
                <w:b/>
                <w:bCs/>
                <w:sz w:val="24"/>
                <w:szCs w:val="24"/>
              </w:rPr>
            </w:pPr>
            <w:r>
              <w:rPr>
                <w:rFonts w:ascii="Times New Roman" w:hAnsi="Times New Roman"/>
                <w:b/>
                <w:bCs/>
                <w:sz w:val="24"/>
                <w:szCs w:val="24"/>
              </w:rPr>
              <w:t>375</w:t>
            </w:r>
          </w:p>
        </w:tc>
      </w:tr>
    </w:tbl>
    <w:p w14:paraId="24EC4CD6" w14:textId="72C06B02" w:rsidR="00A34223" w:rsidRPr="00C861C6" w:rsidRDefault="00A34223" w:rsidP="00C861C6">
      <w:pPr>
        <w:rPr>
          <w:rFonts w:ascii="Times New Roman" w:hAnsi="Times New Roman"/>
          <w:b/>
          <w:sz w:val="28"/>
          <w:szCs w:val="24"/>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35A29105" w:rsidR="0007480B" w:rsidRDefault="0007480B" w:rsidP="00301027">
      <w:pPr>
        <w:jc w:val="center"/>
        <w:rPr>
          <w:rFonts w:ascii="Times New Roman" w:hAnsi="Times New Roman"/>
          <w:b/>
          <w:sz w:val="24"/>
          <w:szCs w:val="24"/>
          <w:lang w:val="bg-BG"/>
        </w:rPr>
      </w:pPr>
    </w:p>
    <w:tbl>
      <w:tblGrid>
        <w:gridCol/>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4"/>
                <w:szCs w:val="24"/>
                <w:b w:val="1"/>
                <w:bCs w:val="1"/>
              </w:rPr>
              <w:t xml:space="preserve">Критерий</w:t>
            </w:r>
          </w:p>
        </w:tc>
        <w:tc>
          <w:tcPr>
            <w:vAlign w:val="center"/>
            <w:shd w:val="clear" w:fill="dddddd"/>
          </w:tcPr>
          <w:p>
            <w:pPr>
              <w:jc w:val="center"/>
            </w:pPr>
            <w:r>
              <w:rPr>
                <w:rFonts w:ascii="Times New Roman" w:hAnsi="Times New Roman" w:eastAsia="Times New Roman" w:cs="Times New Roman"/>
                <w:sz w:val="24"/>
                <w:szCs w:val="24"/>
                <w:b w:val="1"/>
                <w:bCs w:val="1"/>
              </w:rPr>
              <w:t xml:space="preserve">Тежест на критерия</w:t>
              <w:br/>
              <w:t xml:space="preserve">(% от комплексната оценка)</w:t>
            </w:r>
          </w:p>
        </w:tc>
      </w:tr>
      <w:tr>
        <w:trPr/>
        <w:tc>
          <w:tcPr/>
          <w:p>
            <w:pPr/>
            <w:r>
              <w:rPr>
                <w:rFonts w:ascii="Times New Roman" w:hAnsi="Times New Roman" w:eastAsia="Times New Roman" w:cs="Times New Roman"/>
                <w:sz w:val="24"/>
                <w:szCs w:val="24"/>
              </w:rPr>
              <w:t xml:space="preserve">Теоретична част: Тест</w:t>
            </w:r>
          </w:p>
        </w:tc>
        <w:tc>
          <w:tcPr/>
          <w:p>
            <w:pPr>
              <w:jc w:val="center"/>
            </w:pPr>
            <w:r>
              <w:rPr>
                <w:rFonts w:ascii="Times New Roman" w:hAnsi="Times New Roman" w:eastAsia="Times New Roman" w:cs="Times New Roman"/>
                <w:sz w:val="24"/>
                <w:szCs w:val="24"/>
              </w:rPr>
              <w:t xml:space="preserve">70%</w:t>
            </w:r>
          </w:p>
        </w:tc>
      </w:tr>
      <w:tr>
        <w:trPr/>
        <w:tc>
          <w:tcPr/>
          <w:p>
            <w:pPr/>
            <w:r>
              <w:rPr>
                <w:rFonts w:ascii="Times New Roman" w:hAnsi="Times New Roman" w:eastAsia="Times New Roman" w:cs="Times New Roman"/>
                <w:sz w:val="24"/>
                <w:szCs w:val="24"/>
              </w:rPr>
              <w:t xml:space="preserve">Практическа част: Задача по анализ</w:t>
            </w:r>
          </w:p>
        </w:tc>
        <w:tc>
          <w:tcPr/>
          <w:p>
            <w:pPr>
              <w:jc w:val="center"/>
            </w:pPr>
            <w:r>
              <w:rPr>
                <w:rFonts w:ascii="Times New Roman" w:hAnsi="Times New Roman" w:eastAsia="Times New Roman" w:cs="Times New Roman"/>
                <w:sz w:val="24"/>
                <w:szCs w:val="24"/>
              </w:rPr>
              <w:t xml:space="preserve">30%</w:t>
            </w:r>
          </w:p>
        </w:tc>
      </w:tr>
      <w:tr>
        <w:trPr/>
        <w:tc>
          <w:tcPr>
            <w:vAlign w:val="center"/>
            <w:shd w:val="clear" w:fill="dddddd"/>
          </w:tcPr>
          <w:p>
            <w:pPr>
              <w:jc w:val="right"/>
            </w:pPr>
            <w:r>
              <w:rPr>
                <w:rFonts w:ascii="Times New Roman" w:hAnsi="Times New Roman" w:eastAsia="Times New Roman" w:cs="Times New Roman"/>
                <w:sz w:val="24"/>
                <w:szCs w:val="24"/>
                <w:b w:val="1"/>
                <w:bCs w:val="1"/>
              </w:rPr>
              <w:t xml:space="preserve">Общо за дисциплината:</w:t>
            </w:r>
          </w:p>
        </w:tc>
        <w:tc>
          <w:tcPr>
            <w:vAlign w:val="center"/>
            <w:shd w:val="clear" w:fill="dddddd"/>
          </w:tcPr>
          <w:p>
            <w:pPr>
              <w:jc w:val="center"/>
            </w:pPr>
            <w:r>
              <w:rPr>
                <w:rFonts w:ascii="Times New Roman" w:hAnsi="Times New Roman" w:eastAsia="Times New Roman" w:cs="Times New Roman"/>
                <w:sz w:val="24"/>
                <w:szCs w:val="24"/>
                <w:b w:val="1"/>
                <w:bCs w:val="1"/>
              </w:rPr>
              <w:t xml:space="preserve">100%</w:t>
            </w:r>
          </w:p>
        </w:tc>
      </w:tr>
    </w:tbl>
    <w:p w14:paraId="129669A5" w14:textId="77777777" w:rsidR="009943E5" w:rsidRPr="008633A2" w:rsidRDefault="009943E5" w:rsidP="000A31B2">
      <w:pPr>
        <w:overflowPunct/>
        <w:autoSpaceDE/>
        <w:autoSpaceDN/>
        <w:adjustRightInd/>
        <w:textAlignment w:val="auto"/>
        <w:rPr>
          <w:rFonts w:ascii="Times New Roman" w:hAnsi="Times New Roman"/>
          <w:color w:val="232323"/>
          <w:spacing w:val="-13"/>
          <w:sz w:val="24"/>
          <w:szCs w:val="24"/>
        </w:rPr>
      </w:pPr>
    </w:p>
    <w:p w14:paraId="40EA5D97" w14:textId="77777777" w:rsidR="008919B1" w:rsidRDefault="008919B1"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5EE6DF38" w:rsidR="00922E7B" w:rsidRPr="00C10B36" w:rsidRDefault="00AB0FD7" w:rsidP="00F44C88">
      <w:pPr>
        <w:shd w:val="clear" w:color="auto" w:fill="FFFFFF"/>
        <w:spacing w:line="240" w:lineRule="atLeast"/>
        <w:rPr>
          <w:rFonts w:ascii="Times New Roman" w:hAnsi="Times New Roman"/>
          <w:b/>
          <w:caps/>
          <w:color w:val="232323"/>
          <w:spacing w:val="-17"/>
          <w:sz w:val="28"/>
          <w:szCs w:val="28"/>
          <w:lang w:val="bg-BG"/>
        </w:rPr>
      </w:pPr>
      <w:r>
        <w:rPr>
          <w:rFonts w:ascii="Times New Roman" w:hAnsi="Times New Roman"/>
          <w:b/>
          <w:caps/>
          <w:color w:val="232323"/>
          <w:spacing w:val="-17"/>
          <w:sz w:val="28"/>
          <w:szCs w:val="28"/>
          <w:lang w:val="bg-BG"/>
        </w:rPr>
        <w:tab/>
      </w:r>
      <w:bookmarkStart w:id="0" w:name="_GoBack"/>
      <w:bookmarkEnd w:id="0"/>
    </w:p>
    <w:p w14:paraId="3D780F6B" w14:textId="7E0764B4"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 xml:space="preserve">2.1. Цел на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4366F864" w14:textId="161C108E" w:rsidR="00106549" w:rsidRDefault="00106549" w:rsidP="00106549">
      <w:pPr>
        <w:ind w:firstLine="709"/>
        <w:jc w:val="both"/>
        <w:rPr>
          <w:rFonts w:ascii="Times New Roman" w:hAnsi="Times New Roman"/>
        </w:rPr>
      </w:pPr>
      <w:r>
        <w:rPr>
          <w:rFonts w:ascii="Times New Roman" w:hAnsi="Times New Roman"/>
        </w:rPr>
        <w:t>Студентите от редовно и дистанционно обучение на образователна-квалификационна степен магистър на магистърска програма "Финансов анализ и контрол" се дипломират след полагане на комплексен държавен изпит. Целта на държавния изпит е бъдещите специалисти да покажат задълбочени теоретико-методологически и методически знания и професионални умения в областта на приложение на изследователските методи и техники на финансовия анализ и контрол, да демонстрират знания и умения за извършване на анализи и оценки на конкретни икономически ситуации в контролираните и проверявани обекти.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Учебният план на специалността е подготвен така, че да осигурява широкопрофилна икономическа подготовка на студентите. Съдържанието на учебния материал за държавния изпит е базирано на основните дисциплини по анализ и контрол, изучавани от студентите през целия курс на обучение в магистърската програма.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227ED16A"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 xml:space="preserve">2.3. </w:t>
      </w:r>
      <w:r w:rsidR="00E708FF" w:rsidRPr="00E708FF">
        <w:rPr>
          <w:rFonts w:ascii="Times New Roman" w:hAnsi="Times New Roman" w:hint="eastAsia"/>
          <w:b/>
          <w:sz w:val="28"/>
          <w:szCs w:val="28"/>
          <w:lang w:val="bg-BG"/>
        </w:rPr>
        <w:t>Организация</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провеждане</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3EFBF371" w14:textId="5BCB3AD9" w:rsidR="006D3B5D" w:rsidRDefault="006D3B5D" w:rsidP="00BA4B91">
      <w:pPr>
        <w:ind w:firstLine="709"/>
        <w:jc w:val="both"/>
        <w:rPr>
          <w:rFonts w:ascii="Times New Roman" w:hAnsi="Times New Roman"/>
        </w:rPr>
      </w:pPr>
      <w:r>
        <w:rPr>
          <w:rFonts w:ascii="Times New Roman" w:hAnsi="Times New Roman"/>
        </w:rPr>
        <w:t>Държавният изпит обхваща ключови въпроси от подготовката на студентите по финансов анализ и контрол. Изпитът е писмен и се състои от две части - теоретична и практическа. Теоретичната представлява тест, обхващащ въпроси от изучавания материал по дисциплините: Анализ на бизнес риска; Финансов контрол; Управленски анализ; Методология на вътрешния одит; Инвестиционен анализ (технически и фундаментален) и Анализ на финансовите отчети. Практическата част от изпита се състои в решаването на задача от областта на анализа. Продължителността на изпита е три часа. Крайната оценка е комплексна и е формирана по скала с относителни тегла за всеки от компонентите.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Очакваните резултати от държавния изпит са студентите да покажат комплексни знания и възможности, които да им позволят да работят във всички направления на приложното поле на финансовия анализ и контрол. В този смисъл въпросникът за комплексния държавен изпит съдържа елементи, които изискват студентите да покажат знания по анализ на бизнес риска, управленски и инвестиционен анализ, анализ на финансовите отчети, финансов контрол и вътрешен одит.</w:t>
      </w:r>
    </w:p>
    <w:p w14:paraId="1F410D5D" w14:textId="77777777" w:rsidR="007C5A15" w:rsidRPr="003D232B" w:rsidRDefault="007C5A15" w:rsidP="00143328">
      <w:pPr>
        <w:ind w:firstLine="709"/>
        <w:jc w:val="both"/>
        <w:rPr>
          <w:rFonts w:ascii="Times New Roman" w:hAnsi="Times New Roman"/>
        </w:rPr>
      </w:pPr>
    </w:p>
    <w:p w14:paraId="798EA7AD" w14:textId="77777777" w:rsidR="00E52EDC" w:rsidRPr="00821D83" w:rsidRDefault="00E52EDC" w:rsidP="00A34223">
      <w:pPr>
        <w:shd w:val="clear" w:color="auto" w:fill="FFFFFF"/>
        <w:spacing w:line="240" w:lineRule="atLeast"/>
        <w:rPr>
          <w:rFonts w:ascii="Times New Roman" w:hAnsi="Times New Roman"/>
          <w:b/>
          <w:caps/>
          <w:color w:val="232323"/>
          <w:spacing w:val="-17"/>
          <w:sz w:val="28"/>
          <w:szCs w:val="28"/>
        </w:rPr>
      </w:pPr>
    </w:p>
    <w:p w14:paraId="5333ECE4" w14:textId="729BA1E8" w:rsidR="00851A48" w:rsidRDefault="002D6839" w:rsidP="009558B1">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rPr>
        <w:t>I</w:t>
      </w:r>
      <w:r w:rsidR="00821D83">
        <w:rPr>
          <w:rFonts w:ascii="Times New Roman" w:hAnsi="Times New Roman"/>
          <w:b/>
          <w:caps/>
          <w:color w:val="232323"/>
          <w:spacing w:val="-17"/>
          <w:sz w:val="28"/>
          <w:szCs w:val="28"/>
        </w:rPr>
        <w:t>II</w:t>
      </w:r>
      <w:r w:rsidR="00A34223" w:rsidRPr="00C10B36">
        <w:rPr>
          <w:rFonts w:ascii="Times New Roman" w:hAnsi="Times New Roman"/>
          <w:b/>
          <w:caps/>
          <w:color w:val="232323"/>
          <w:spacing w:val="-17"/>
          <w:sz w:val="28"/>
          <w:szCs w:val="28"/>
          <w:lang w:val="bg-BG"/>
        </w:rPr>
        <w:t>. Учебно съдържание</w:t>
      </w:r>
    </w:p>
    <w:p w14:paraId="2AA14601" w14:textId="1F956E50"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tbl>
      <w:tblGrid>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6"/>
                <w:szCs w:val="26"/>
                <w:b w:val="1"/>
                <w:bCs w:val="1"/>
              </w:rPr>
              <w:t xml:space="preserve">ВЪПРОСИ ЗА ДЪРЖАВНИЯ ИЗПИТ</w:t>
            </w:r>
          </w:p>
        </w:tc>
      </w:tr>
      <w:tr>
        <w:trPr/>
        <w:tc>
          <w:tcPr/>
          <w:p>
            <w:pPr/>
            <w:r>
              <w:rPr>
                <w:rFonts w:ascii="Times New Roman" w:hAnsi="Times New Roman" w:eastAsia="Times New Roman" w:cs="Times New Roman"/>
                <w:sz w:val="26"/>
                <w:szCs w:val="26"/>
                <w:b w:val="1"/>
                <w:bCs w:val="1"/>
              </w:rPr>
              <w:t xml:space="preserve">ВЪПРОСИ ЗА ТЕСТ ПО "АНАЛИЗ НА БИЗНЕС РИСКА"</w:t>
            </w:r>
          </w:p>
        </w:tc>
      </w:tr>
      <w:tr>
        <w:trPr/>
        <w:tc>
          <w:tcPr/>
          <w:p>
            <w:pPr/>
            <w:r>
              <w:rPr>
                <w:rFonts w:ascii="Times New Roman" w:hAnsi="Times New Roman" w:eastAsia="Times New Roman" w:cs="Times New Roman"/>
                <w:sz w:val="26"/>
                <w:szCs w:val="26"/>
              </w:rPr>
              <w:t xml:space="preserve">1. Теоретични основи, теоретико-методологически проблеми и организационни въпроси на анализа на бизнес риска
</w:t>
              <w:br/>
              <w:t xml:space="preserve">2. Методи и модели за статистико-математически анализ на бизнес риска
</w:t>
              <w:br/>
              <w:t xml:space="preserve">3. Пирамидален факторен анализ и оператиивен и финансов ливъридж за оценка на бизнес риска. Критични съотношения за измерване на бизнес риска
</w:t>
              <w:br/>
              <w:t xml:space="preserve">4. Методика за рискови анализи и методика за анализ на бизнес риска по отделни видове</w:t>
            </w:r>
          </w:p>
        </w:tc>
      </w:tr>
      <w:tr>
        <w:trPr/>
        <w:tc>
          <w:tcPr/>
          <w:p>
            <w:pPr/>
            <w:r>
              <w:rPr>
                <w:rFonts w:ascii="Times New Roman" w:hAnsi="Times New Roman" w:eastAsia="Times New Roman" w:cs="Times New Roman"/>
                <w:sz w:val="26"/>
                <w:szCs w:val="26"/>
                <w:b w:val="1"/>
                <w:bCs w:val="1"/>
              </w:rPr>
              <w:t xml:space="preserve">ВЪПРОСИ ЗА ТЕСТ ПО "ФИНАНСОВ КОНТРОЛ"</w:t>
            </w:r>
          </w:p>
        </w:tc>
      </w:tr>
      <w:tr>
        <w:trPr/>
        <w:tc>
          <w:tcPr/>
          <w:p>
            <w:pPr/>
            <w:r>
              <w:rPr>
                <w:rFonts w:ascii="Times New Roman" w:hAnsi="Times New Roman" w:eastAsia="Times New Roman" w:cs="Times New Roman"/>
                <w:sz w:val="26"/>
                <w:szCs w:val="26"/>
              </w:rPr>
              <w:t xml:space="preserve">1. Теоретични основи на финансовия контрол. Методически аспекти на финансовата инспекция
</w:t>
              <w:br/>
              <w:t xml:space="preserve">2. Финансов контрол при корпоративното подоходно облагане, при облагането на доходите на физически лица, при облагането с местни данъци и такси и с данък добавена стойност
</w:t>
              <w:br/>
              <w:t xml:space="preserve">3. Финансов контрол върху обществените поръчки и върху средствата от Европейския съюз
</w:t>
              <w:br/>
              <w:t xml:space="preserve">4. Предварителен контрол при системите за финансово управление и контрол, финансов контрол върху функционирането на СФУК
</w:t>
              <w:br/>
              <w:t xml:space="preserve">5. Особености на контрола във финансовия и в частния сектор. Финансов контрол върху бюджетния процес. Отговорности, търсени при финансовия контрол</w:t>
            </w:r>
          </w:p>
        </w:tc>
      </w:tr>
      <w:tr>
        <w:trPr/>
        <w:tc>
          <w:tcPr/>
          <w:p>
            <w:pPr/>
            <w:r>
              <w:rPr>
                <w:rFonts w:ascii="Times New Roman" w:hAnsi="Times New Roman" w:eastAsia="Times New Roman" w:cs="Times New Roman"/>
                <w:sz w:val="26"/>
                <w:szCs w:val="26"/>
                <w:b w:val="1"/>
                <w:bCs w:val="1"/>
              </w:rPr>
              <w:t xml:space="preserve">ВЪПРОСИ ЗА ТЕСТ ПО "УПРАВЛЕНСКИ АНАЛИЗ"</w:t>
            </w:r>
          </w:p>
        </w:tc>
      </w:tr>
      <w:tr>
        <w:trPr/>
        <w:tc>
          <w:tcPr/>
          <w:p>
            <w:pPr/>
            <w:r>
              <w:rPr>
                <w:rFonts w:ascii="Times New Roman" w:hAnsi="Times New Roman" w:eastAsia="Times New Roman" w:cs="Times New Roman"/>
                <w:sz w:val="26"/>
                <w:szCs w:val="26"/>
              </w:rPr>
              <w:t xml:space="preserve">1. Управленският анализ в системата на фирмения мениджмънт
</w:t>
              <w:br/>
              <w:t xml:space="preserve">2. Анализ на маркетинговия микс, на деловата активност и конкурентоспособността на предприятието. Анализ на разходите и ресурсите на предприятието 
</w:t>
              <w:br/>
              <w:t xml:space="preserve">3. Анализ на финансовата стабилност на предприятието. Анализ на инвестиционни проекти и корпоративна оценка 
</w:t>
              <w:br/>
              <w:t xml:space="preserve">4. Други инструменти за оперативни и стратегически бизнес анализи</w:t>
            </w:r>
          </w:p>
        </w:tc>
      </w:tr>
      <w:tr>
        <w:trPr/>
        <w:tc>
          <w:tcPr/>
          <w:p>
            <w:pPr/>
            <w:r>
              <w:rPr>
                <w:rFonts w:ascii="Times New Roman" w:hAnsi="Times New Roman" w:eastAsia="Times New Roman" w:cs="Times New Roman"/>
                <w:sz w:val="26"/>
                <w:szCs w:val="26"/>
                <w:b w:val="1"/>
                <w:bCs w:val="1"/>
              </w:rPr>
              <w:t xml:space="preserve">ВЪПРОСИ ЗА ТЕСТ ПО "МЕТОДОЛОГИЯ НА ВЪТРЕШНИЯ ОДИТ"</w:t>
            </w:r>
          </w:p>
        </w:tc>
      </w:tr>
      <w:tr>
        <w:trPr/>
        <w:tc>
          <w:tcPr/>
          <w:p>
            <w:pPr/>
            <w:r>
              <w:rPr>
                <w:rFonts w:ascii="Times New Roman" w:hAnsi="Times New Roman" w:eastAsia="Times New Roman" w:cs="Times New Roman"/>
                <w:sz w:val="26"/>
                <w:szCs w:val="26"/>
              </w:rPr>
              <w:t xml:space="preserve">1. Въведение във вътрешния одит. Професионални практики. Дефиниции, принципи и естество на работата по вътрешен одит. Видове услуги, предоставяни от вътрешния одит
</w:t>
              <w:br/>
              <w:t xml:space="preserve">2. Вътрешният одит и управлението на риска. Вътрешният одит и вътрешния контрол. Управление на вътрешния одит
</w:t>
              <w:br/>
              <w:t xml:space="preserve">3. Изпълнение и координация на дейностите по вътрешен одит. Одитни ангажименти
</w:t>
              <w:br/>
              <w:t xml:space="preserve">4. Работни документи. Докладване на резултатите и мониторинг на напредъка
</w:t>
              <w:br/>
              <w:t xml:space="preserve">5. Разкриване и предотвратяване на измами. Осигуряване на качеството на вътрешния одит</w:t>
            </w:r>
          </w:p>
        </w:tc>
      </w:tr>
      <w:tr>
        <w:trPr/>
        <w:tc>
          <w:tcPr/>
          <w:p>
            <w:pPr/>
            <w:r>
              <w:rPr>
                <w:rFonts w:ascii="Times New Roman" w:hAnsi="Times New Roman" w:eastAsia="Times New Roman" w:cs="Times New Roman"/>
                <w:sz w:val="26"/>
                <w:szCs w:val="26"/>
                <w:b w:val="1"/>
                <w:bCs w:val="1"/>
              </w:rPr>
              <w:t xml:space="preserve">ВЪПРОСИ ЗА ТЕСТ ПО "ИНВЕСТИЦИОНЕН АНАЛИЗ (ТЕХНИЧЕСКИ И ФУНДАМЕНТАЛЕН)"</w:t>
            </w:r>
          </w:p>
        </w:tc>
      </w:tr>
      <w:tr>
        <w:trPr/>
        <w:tc>
          <w:tcPr/>
          <w:p>
            <w:pPr/>
            <w:r>
              <w:rPr>
                <w:rFonts w:ascii="Times New Roman" w:hAnsi="Times New Roman" w:eastAsia="Times New Roman" w:cs="Times New Roman"/>
                <w:sz w:val="26"/>
                <w:szCs w:val="26"/>
              </w:rPr>
              <w:t xml:space="preserve">1. Въведение в инвестиционния анализ. Измерители на борсовата активност и технически индикатори
</w:t>
              <w:br/>
              <w:t xml:space="preserve">2. Вълнова теория на Елиат 
</w:t>
              <w:br/>
              <w:t xml:space="preserve">3. Mетоди и модели за фундаментално оценяване на финансови  инструменти. Фундаментален анализ на капиталовите инструменти 
</w:t>
              <w:br/>
              <w:t xml:space="preserve">4. Календарни аномалии</w:t>
            </w:r>
          </w:p>
        </w:tc>
      </w:tr>
      <w:tr>
        <w:trPr/>
        <w:tc>
          <w:tcPr/>
          <w:p>
            <w:pPr/>
            <w:r>
              <w:rPr>
                <w:rFonts w:ascii="Times New Roman" w:hAnsi="Times New Roman" w:eastAsia="Times New Roman" w:cs="Times New Roman"/>
                <w:sz w:val="26"/>
                <w:szCs w:val="26"/>
                <w:b w:val="1"/>
                <w:bCs w:val="1"/>
              </w:rPr>
              <w:t xml:space="preserve">ВЪПРОСИ ЗА ТЕСТ ПО "АНАЛИЗ НА ФИНАНСОВИТЕ ОТЧЕТИ"</w:t>
            </w:r>
          </w:p>
        </w:tc>
      </w:tr>
      <w:tr>
        <w:trPr/>
        <w:tc>
          <w:tcPr/>
          <w:p>
            <w:pPr/>
            <w:r>
              <w:rPr>
                <w:rFonts w:ascii="Times New Roman" w:hAnsi="Times New Roman" w:eastAsia="Times New Roman" w:cs="Times New Roman"/>
                <w:sz w:val="26"/>
                <w:szCs w:val="26"/>
              </w:rPr>
              <w:t xml:space="preserve">1. Базови характеристики на анализа на финансовите отчети. Процедури за анализ на финансовите отчети в процеса на одитa
</w:t>
              <w:br/>
              <w:t xml:space="preserve">2. Анализ на отчета за приходите и разходите. Обща диагностика на финансовото състояние по данни на счетоводния баланс. Структурен анализ на баланса
</w:t>
              <w:br/>
              <w:t xml:space="preserve">3. Анализ на платежоспособността и ликвидността. Анализ и управление на задлъжнялостта и кредитоспособността
</w:t>
              <w:br/>
              <w:t xml:space="preserve">4. Анализ на оборота и ефективността на капитала. Анализ на предпоставките за финансова несъстоятелност 
</w:t>
              <w:br/>
              <w:t xml:space="preserve">5. Анализ на отчета за паричните потоци и на другите елементи на годишния финансов отчет</w:t>
            </w:r>
          </w:p>
        </w:tc>
      </w:tr>
    </w:tbl>
    <w:p w14:paraId="091B7150" w14:textId="7CD6B4C5" w:rsidR="00346CE1" w:rsidRDefault="00346CE1" w:rsidP="00821D83">
      <w:pPr>
        <w:shd w:val="clear" w:color="auto" w:fill="FFFFFF"/>
        <w:spacing w:line="240" w:lineRule="atLeast"/>
        <w:rPr>
          <w:rFonts w:ascii="Times New Roman" w:hAnsi="Times New Roman"/>
          <w:bCs/>
          <w:color w:val="222222"/>
          <w:spacing w:val="-7"/>
          <w:sz w:val="24"/>
          <w:szCs w:val="24"/>
        </w:rPr>
      </w:pPr>
    </w:p>
    <w:p w14:paraId="7EA8D314" w14:textId="499D0835" w:rsidR="00346CE1" w:rsidRPr="00C10B36" w:rsidRDefault="00346CE1" w:rsidP="00346CE1">
      <w:pPr>
        <w:shd w:val="clear" w:color="auto" w:fill="FFFFFF"/>
        <w:spacing w:line="240" w:lineRule="atLeast"/>
        <w:rPr>
          <w:rFonts w:ascii="Times New Roman" w:hAnsi="Times New Roman"/>
          <w:b/>
          <w:color w:val="232323"/>
          <w:spacing w:val="-13"/>
          <w:sz w:val="28"/>
          <w:szCs w:val="28"/>
          <w:lang w:val="bg-BG"/>
        </w:rPr>
      </w:pPr>
      <w:r>
        <w:rPr>
          <w:rFonts w:ascii="Times New Roman" w:hAnsi="Times New Roman"/>
          <w:b/>
          <w:caps/>
          <w:color w:val="232323"/>
          <w:spacing w:val="-17"/>
          <w:sz w:val="28"/>
          <w:szCs w:val="28"/>
        </w:rPr>
        <w:t>I</w:t>
      </w:r>
      <w:r w:rsidRPr="00C10B36">
        <w:rPr>
          <w:rFonts w:ascii="Times New Roman" w:hAnsi="Times New Roman"/>
          <w:b/>
          <w:caps/>
          <w:color w:val="232323"/>
          <w:spacing w:val="-17"/>
          <w:sz w:val="28"/>
          <w:szCs w:val="28"/>
          <w:lang w:val="bg-BG"/>
        </w:rPr>
        <w:t>V. ПреПОРЪЧИТЕЛНИ МАТЕРИАЛИ И НОРМАТИВНИ ИЗТОЧНИЦИ</w:t>
      </w:r>
      <w:r w:rsidRPr="00C10B36">
        <w:rPr>
          <w:rFonts w:ascii="Times New Roman" w:hAnsi="Times New Roman"/>
          <w:b/>
          <w:caps/>
          <w:color w:val="232323"/>
          <w:spacing w:val="-17"/>
          <w:sz w:val="28"/>
          <w:szCs w:val="28"/>
          <w:lang w:val="bg-BG"/>
        </w:rPr>
        <w:br/>
      </w:r>
    </w:p>
    <w:p w14:paraId="2DB69071" w14:textId="4E98254B"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E03427">
        <w:rPr>
          <w:rFonts w:ascii="Times New Roman" w:hAnsi="Times New Roman"/>
          <w:b/>
          <w:sz w:val="28"/>
          <w:szCs w:val="28"/>
        </w:rPr>
        <w:t>4</w:t>
      </w:r>
      <w:r w:rsidRPr="00C10B36">
        <w:rPr>
          <w:rFonts w:ascii="Times New Roman" w:hAnsi="Times New Roman"/>
          <w:b/>
          <w:sz w:val="28"/>
          <w:szCs w:val="28"/>
          <w:lang w:val="bg-BG"/>
        </w:rPr>
        <w:t>.1.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БЛАГОЕВ, В. Маркетингът в определения и примери. София, 1989.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БОРОНЕНКОВА, С. А. Управленческий анализ. Москва, 2001.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БРУСЕВА, М. Управление на риска. Варна, Варненски свободен университет “Черноризец Храбър”,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ВЕЛЕВ, МЛ. Оценка и анализ на фирмената конкурентоспособност. София, 2004.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ВЛАДИМИРОВ, Л. Рискметрия в екологичната сигурност. Варна, Варненски свободен университет “Черноризец Храбър”,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ГЕОРГИЕВА, Е., ТОНКОВА, Е., СТАНИМИРОВ, Е. Маркетингови анализи. Варна,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ГЪРНЕВ, Н., ПЕТКОВА, Д., НАЧЕВА, М. и др. Формиране на одиторско мнение и одиторски доклади върху пълни финансови отчети с общо предназначение. София, ИДЕС, 2011.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ДАНАИЛОВ, Д. Бизнесанализи на фирмата (международни и национални). София, 1995.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ДИНЕВ, М., Кризата, одитът и другите, Годишник на ИДЕС,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ДИНЕВ. Д., Измерване и одитинг на дейността на държавните организации, УНСС, Национален университетски център, Икономика на публичния сектор, София, 2000.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ИВАНОВ, Г., КОСТОВА, С. Финансов контрол. Учебно пособие за дистанционно обучение. 2019, АИ "Ценов", Свищов.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ИВАНОВ, Г., КОСТОВА, С., Одит, Фабер, 2012.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ИВАНОВ, Г., КРУМОВ, Кр., СТОЙКОВА, П., КОСТОВА, С., АНТОВ, М. и др. Основи на контрола и анализа. Учебно пособие за дистанционно обучение. 2019, АИ "Ценов", Свищов.</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ИВАНОВ, Г., М.АНТОВ, Д. ИВАНОВА, Вътрешен контрол, Свищов, АИ "Ценов", 2021.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ИВАНОВ, Г., Методология на вътрешния одит, Свищов, АИ “Ценов”, библ. “Образование и наука”, бр. 43,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ИВАНОВ, Г., НЕНКОВ, В., Одит в публичния сектор, АИ Ценов, Свищов,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ИВАНОВ, Г., С. КОСТОВА, Одит, УПДО, АИ "Ценов", Свищов, 2021.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ИВАНОВ, Г., Управление на риска в организациите от публичния сектор, Свищов, БОН,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ИВАНОВА, Р., ТОДОРОВ, Л. Финансово-стопански анализ. София,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ЙОНКОВА, Б. и др. Управленски анализи и счетоводство. София, УИ „Стопанство”,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ЙОРДАНОВ, КР., Финансов одит, София,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22. </w:t>
            </w:r>
            <w:r>
              <w:rPr>
                <w:rFonts w:ascii="Times New Roman" w:hAnsi="Times New Roman"/>
                <w:bCs/>
                <w:color w:val="222222"/>
                <w:spacing w:val="-7"/>
                <w:sz w:val="24"/>
                <w:szCs w:val="24"/>
              </w:rPr>
              <w:t>КАЛОЯНОВА, СН. КАЛОЯНОВ, Н. Измами във финансовите отчети. София, ИДЕС,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23. </w:t>
            </w:r>
            <w:r>
              <w:rPr>
                <w:rFonts w:ascii="Times New Roman" w:hAnsi="Times New Roman"/>
                <w:bCs/>
                <w:color w:val="222222"/>
                <w:spacing w:val="-7"/>
                <w:sz w:val="24"/>
                <w:szCs w:val="24"/>
              </w:rPr>
              <w:t>КОЛЕВА, Р. Методически и приложни аспекти на анализа на финансовото състояние. В. Търново, Фабер,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24. </w:t>
            </w:r>
            <w:r>
              <w:rPr>
                <w:rFonts w:ascii="Times New Roman" w:hAnsi="Times New Roman"/>
                <w:bCs/>
                <w:color w:val="222222"/>
                <w:spacing w:val="-7"/>
                <w:sz w:val="24"/>
                <w:szCs w:val="24"/>
              </w:rPr>
              <w:t>КОСТОВА, Н. Финансов анализ. Варна, Бизнес практика Актив ООД, 2019.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25. </w:t>
            </w:r>
            <w:r>
              <w:rPr>
                <w:rFonts w:ascii="Times New Roman" w:hAnsi="Times New Roman"/>
                <w:bCs/>
                <w:color w:val="222222"/>
                <w:spacing w:val="-7"/>
                <w:sz w:val="24"/>
                <w:szCs w:val="24"/>
              </w:rPr>
              <w:t>МАТЕЕВ, М. Анализ и оценка на риска при избор на инвестиционни решения. София, УИ “Стопанство”, 2000.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26. </w:t>
            </w:r>
            <w:r>
              <w:rPr>
                <w:rFonts w:ascii="Times New Roman" w:hAnsi="Times New Roman"/>
                <w:bCs/>
                <w:color w:val="222222"/>
                <w:spacing w:val="-7"/>
                <w:sz w:val="24"/>
                <w:szCs w:val="24"/>
              </w:rPr>
              <w:t>МИЛЪР, Р., Съвременен вътрешен одит – теория и практика, София, АСПРО, 2007.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27. </w:t>
            </w:r>
            <w:r>
              <w:rPr>
                <w:rFonts w:ascii="Times New Roman" w:hAnsi="Times New Roman"/>
                <w:bCs/>
                <w:color w:val="222222"/>
                <w:spacing w:val="-7"/>
                <w:sz w:val="24"/>
                <w:szCs w:val="24"/>
              </w:rPr>
              <w:t>МИХАЙЛОВ, М. и др. Анализ на търговския бизнес. В. Търново, Фабер, 2012.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28. </w:t>
            </w:r>
            <w:r>
              <w:rPr>
                <w:rFonts w:ascii="Times New Roman" w:hAnsi="Times New Roman"/>
                <w:bCs/>
                <w:color w:val="222222"/>
                <w:spacing w:val="-7"/>
                <w:sz w:val="24"/>
                <w:szCs w:val="24"/>
              </w:rPr>
              <w:t>МИХАЙЛОВ, М., Гергова, М. Икономически анализ. Свищов, АИ “Ценов”, 2003.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29. </w:t>
            </w:r>
            <w:r>
              <w:rPr>
                <w:rFonts w:ascii="Times New Roman" w:hAnsi="Times New Roman"/>
                <w:bCs/>
                <w:color w:val="222222"/>
                <w:spacing w:val="-7"/>
                <w:sz w:val="24"/>
                <w:szCs w:val="24"/>
              </w:rPr>
              <w:t>МЛАДЕНОВА, Г. Маркетингови анализи. София, Тракия-М, 2000.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30. </w:t>
            </w:r>
            <w:r>
              <w:rPr>
                <w:rFonts w:ascii="Times New Roman" w:hAnsi="Times New Roman"/>
                <w:bCs/>
                <w:color w:val="222222"/>
                <w:spacing w:val="-7"/>
                <w:sz w:val="24"/>
                <w:szCs w:val="24"/>
              </w:rPr>
              <w:t>МЛАДЕНОВА, Г., ДИМОВА, Н. Основи на маркетинга. София,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31. </w:t>
            </w:r>
            <w:r>
              <w:rPr>
                <w:rFonts w:ascii="Times New Roman" w:hAnsi="Times New Roman"/>
                <w:bCs/>
                <w:color w:val="222222"/>
                <w:spacing w:val="-7"/>
                <w:sz w:val="24"/>
                <w:szCs w:val="24"/>
              </w:rPr>
              <w:t>НАЧКОВ, Д. Юридическа отговорност на независимите оценители и на регистрираните одитори, София, Фенея,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32. </w:t>
            </w:r>
            <w:r>
              <w:rPr>
                <w:rFonts w:ascii="Times New Roman" w:hAnsi="Times New Roman"/>
                <w:bCs/>
                <w:color w:val="222222"/>
                <w:spacing w:val="-7"/>
                <w:sz w:val="24"/>
                <w:szCs w:val="24"/>
              </w:rPr>
              <w:t>НЕНОВ, Т. Управление на риска. библ. “Стопански свят” бр. 43, АИ. “Ценов” Свищов, 2000ПЪТЕВ, П., КАНАРЯН, Н. Управление на портфейла. В.Търново, Абагар,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33. </w:t>
            </w:r>
            <w:r>
              <w:rPr>
                <w:rFonts w:ascii="Times New Roman" w:hAnsi="Times New Roman"/>
                <w:bCs/>
                <w:color w:val="222222"/>
                <w:spacing w:val="-7"/>
                <w:sz w:val="24"/>
                <w:szCs w:val="24"/>
              </w:rPr>
              <w:t>ПРАЙСНЕР, А. Мениджмънт на клиентите. София, „Еастра холдинг груп”АД, 2011.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34. </w:t>
            </w:r>
            <w:r>
              <w:rPr>
                <w:rFonts w:ascii="Times New Roman" w:hAnsi="Times New Roman"/>
                <w:bCs/>
                <w:color w:val="222222"/>
                <w:spacing w:val="-7"/>
                <w:sz w:val="24"/>
                <w:szCs w:val="24"/>
              </w:rPr>
              <w:t>САВОВ, С. Икономически анализ на индустриалната фирма. София, 1992.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35. </w:t>
            </w:r>
            <w:r>
              <w:rPr>
                <w:rFonts w:ascii="Times New Roman" w:hAnsi="Times New Roman"/>
                <w:bCs/>
                <w:color w:val="222222"/>
                <w:spacing w:val="-7"/>
                <w:sz w:val="24"/>
                <w:szCs w:val="24"/>
              </w:rPr>
              <w:t>САВОВ, С. Финансов анализ на дейността на фирмата. София, Сиела, 2007.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36. </w:t>
            </w:r>
            <w:r>
              <w:rPr>
                <w:rFonts w:ascii="Times New Roman" w:hAnsi="Times New Roman"/>
                <w:bCs/>
                <w:color w:val="222222"/>
                <w:spacing w:val="-7"/>
                <w:sz w:val="24"/>
                <w:szCs w:val="24"/>
              </w:rPr>
              <w:t>СИМЕОНОВ, Ст., ГАНЧЕВ, Aл.  ИНВЕСТИЦИОНЕН АНАЛИЗ с включен изпитен казус (формат А4): АИ „Ценов“, Свищов, 2012.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37. </w:t>
            </w:r>
            <w:r>
              <w:rPr>
                <w:rFonts w:ascii="Times New Roman" w:hAnsi="Times New Roman"/>
                <w:bCs/>
                <w:color w:val="222222"/>
                <w:spacing w:val="-7"/>
                <w:sz w:val="24"/>
                <w:szCs w:val="24"/>
              </w:rPr>
              <w:t>СТАНЕВА, В. Счетоводство и анализ на финансовите отчети на предприятието, София, Изд. комплекс УНСС, 2018.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38. </w:t>
            </w:r>
            <w:r>
              <w:rPr>
                <w:rFonts w:ascii="Times New Roman" w:hAnsi="Times New Roman"/>
                <w:bCs/>
                <w:color w:val="222222"/>
                <w:spacing w:val="-7"/>
                <w:sz w:val="24"/>
                <w:szCs w:val="24"/>
              </w:rPr>
              <w:t>СТАНЕВА, В. Счетоводство и анализ на финансовите отчети на предприятието, София, Изд. комплекс УНСС, 2018.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39. </w:t>
            </w:r>
            <w:r>
              <w:rPr>
                <w:rFonts w:ascii="Times New Roman" w:hAnsi="Times New Roman"/>
                <w:bCs/>
                <w:color w:val="222222"/>
                <w:spacing w:val="-7"/>
                <w:sz w:val="24"/>
                <w:szCs w:val="24"/>
              </w:rPr>
              <w:t>СЪЛОВА, Н. Търговски мениджмънт. Варна, Наука и икономика,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40. </w:t>
            </w:r>
            <w:r>
              <w:rPr>
                <w:rFonts w:ascii="Times New Roman" w:hAnsi="Times New Roman"/>
                <w:bCs/>
                <w:color w:val="222222"/>
                <w:spacing w:val="-7"/>
                <w:sz w:val="24"/>
                <w:szCs w:val="24"/>
              </w:rPr>
              <w:t>ТОДОРОВ, Л. Съвременни модели за оценка на бизнеса. София, Нова звезда, 2014.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41. </w:t>
            </w:r>
            <w:r>
              <w:rPr>
                <w:rFonts w:ascii="Times New Roman" w:hAnsi="Times New Roman"/>
                <w:bCs/>
                <w:color w:val="222222"/>
                <w:spacing w:val="-7"/>
                <w:sz w:val="24"/>
                <w:szCs w:val="24"/>
              </w:rPr>
              <w:t>ТОМЕВА, М., ПЕТКОВА, З., АНТОВ, М., ЖЕЛЕВ, Ж. Финансов контрол. АИ Ценов. 2018.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42. </w:t>
            </w:r>
            <w:r>
              <w:rPr>
                <w:rFonts w:ascii="Times New Roman" w:hAnsi="Times New Roman"/>
                <w:bCs/>
                <w:color w:val="222222"/>
                <w:spacing w:val="-7"/>
                <w:sz w:val="24"/>
                <w:szCs w:val="24"/>
              </w:rPr>
              <w:t>ТРИФОНОВ, Тр. и др. Корпоративни финанси. София, 1999.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43. </w:t>
            </w:r>
            <w:r>
              <w:rPr>
                <w:rFonts w:ascii="Times New Roman" w:hAnsi="Times New Roman"/>
                <w:bCs/>
                <w:color w:val="222222"/>
                <w:spacing w:val="-7"/>
                <w:sz w:val="24"/>
                <w:szCs w:val="24"/>
              </w:rPr>
              <w:t>ТРИФОНОВ, Тр. Счетоводен анализ на фирмата. София, 2000.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44. </w:t>
            </w:r>
            <w:r>
              <w:rPr>
                <w:rFonts w:ascii="Times New Roman" w:hAnsi="Times New Roman"/>
                <w:bCs/>
                <w:color w:val="222222"/>
                <w:spacing w:val="-7"/>
                <w:sz w:val="24"/>
                <w:szCs w:val="24"/>
              </w:rPr>
              <w:t>ТРИФОНОВ, Тр., ТРИФОНОВА, С. Финансов анализ на фирмата. София, 2001.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45. </w:t>
            </w:r>
            <w:r>
              <w:rPr>
                <w:rFonts w:ascii="Times New Roman" w:hAnsi="Times New Roman"/>
                <w:bCs/>
                <w:color w:val="222222"/>
                <w:spacing w:val="-7"/>
                <w:sz w:val="24"/>
                <w:szCs w:val="24"/>
              </w:rPr>
              <w:t>ТУЖАРОВ, Хр. Управление на риска. ВТУ, “Св.св. “Кирил и Методий”,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46. </w:t>
            </w:r>
            <w:r>
              <w:rPr>
                <w:rFonts w:ascii="Times New Roman" w:hAnsi="Times New Roman"/>
                <w:bCs/>
                <w:color w:val="222222"/>
                <w:spacing w:val="-7"/>
                <w:sz w:val="24"/>
                <w:szCs w:val="24"/>
              </w:rPr>
              <w:t>УОЛШ, К. Ключовите коефициенти в мениджмънта. София, ИнфоДАР,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47. </w:t>
            </w:r>
            <w:r>
              <w:rPr>
                <w:rFonts w:ascii="Times New Roman" w:hAnsi="Times New Roman"/>
                <w:bCs/>
                <w:color w:val="222222"/>
                <w:spacing w:val="-7"/>
                <w:sz w:val="24"/>
                <w:szCs w:val="24"/>
              </w:rPr>
              <w:t>БАКАНОВ, М.И., ШЕРЕМЕТ, А. Д. Теория экономического анализа. Москва,  1999.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48. </w:t>
            </w:r>
            <w:r>
              <w:rPr>
                <w:rFonts w:ascii="Times New Roman" w:hAnsi="Times New Roman"/>
                <w:bCs/>
                <w:color w:val="222222"/>
                <w:spacing w:val="-7"/>
                <w:sz w:val="24"/>
                <w:szCs w:val="24"/>
              </w:rPr>
              <w:t>БАЛАБАНОВ, И. Т. Риск-мениджмънт. Москва, Финансы и статистика, 1996.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49. </w:t>
            </w:r>
            <w:r>
              <w:rPr>
                <w:rFonts w:ascii="Times New Roman" w:hAnsi="Times New Roman"/>
                <w:bCs/>
                <w:color w:val="222222"/>
                <w:spacing w:val="-7"/>
                <w:sz w:val="24"/>
                <w:szCs w:val="24"/>
              </w:rPr>
              <w:t>ЕНДОВИЦКИЙ, Д. А. Комплексный анализ и контроль инвестиционной деятельности. Методология и практика. Москва, Финансы и статистика, 2001.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50. </w:t>
            </w:r>
            <w:r>
              <w:rPr>
                <w:rFonts w:ascii="Times New Roman" w:hAnsi="Times New Roman"/>
                <w:bCs/>
                <w:color w:val="222222"/>
                <w:spacing w:val="-7"/>
                <w:sz w:val="24"/>
                <w:szCs w:val="24"/>
              </w:rPr>
              <w:t>КОВАЛЕВ В. В. Финансовы анализ. Москва, Финасы и статистика, 1996.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51. </w:t>
            </w:r>
            <w:r>
              <w:rPr>
                <w:rFonts w:ascii="Times New Roman" w:hAnsi="Times New Roman"/>
                <w:bCs/>
                <w:color w:val="222222"/>
                <w:spacing w:val="-7"/>
                <w:sz w:val="24"/>
                <w:szCs w:val="24"/>
              </w:rPr>
              <w:t>РИСК – анализ инвестиционного проекта. Под ред. М. В. Грачевой. Москва, ЮНИТИ, 2001.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52. </w:t>
            </w:r>
            <w:r>
              <w:rPr>
                <w:rFonts w:ascii="Times New Roman" w:hAnsi="Times New Roman"/>
                <w:bCs/>
                <w:color w:val="222222"/>
                <w:spacing w:val="-7"/>
                <w:sz w:val="24"/>
                <w:szCs w:val="24"/>
              </w:rPr>
              <w:t>РИШАР Ж. Аудит и анализ хозяйственной деятельности предприятия, пер. с франц. Москва, 1997.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53. </w:t>
            </w:r>
            <w:r>
              <w:rPr>
                <w:rFonts w:ascii="Times New Roman" w:hAnsi="Times New Roman"/>
                <w:bCs/>
                <w:color w:val="222222"/>
                <w:spacing w:val="-7"/>
                <w:sz w:val="24"/>
                <w:szCs w:val="24"/>
              </w:rPr>
              <w:t>РЭДХЭД, R., ХЬЮС, С. Управление финансовыми рисками. Москва, Инфра – М, 1996.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54. </w:t>
            </w:r>
            <w:r>
              <w:rPr>
                <w:rFonts w:ascii="Times New Roman" w:hAnsi="Times New Roman"/>
                <w:bCs/>
                <w:color w:val="222222"/>
                <w:spacing w:val="-7"/>
                <w:sz w:val="24"/>
                <w:szCs w:val="24"/>
              </w:rPr>
              <w:t>СЕВРУК, В. Т. Риски финансового сектора Росийской Федерации. М. ЗАО Финстатинформ, 2001.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55. </w:t>
            </w:r>
            <w:r>
              <w:rPr>
                <w:rFonts w:ascii="Times New Roman" w:hAnsi="Times New Roman"/>
                <w:bCs/>
                <w:color w:val="222222"/>
                <w:spacing w:val="-7"/>
                <w:sz w:val="24"/>
                <w:szCs w:val="24"/>
              </w:rPr>
              <w:t>ТЭПМАН, Л. Н. Риски в экономике. Москва, ЮНИТИ, 2002.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56. </w:t>
            </w:r>
            <w:r>
              <w:rPr>
                <w:rFonts w:ascii="Times New Roman" w:hAnsi="Times New Roman"/>
                <w:bCs/>
                <w:color w:val="222222"/>
                <w:spacing w:val="-7"/>
                <w:sz w:val="24"/>
                <w:szCs w:val="24"/>
              </w:rPr>
              <w:t>ЧЕРНОВ, В. А. Анализ коммерческого риска. Москва, Финансы и статистика, 1998ВОС, Б. Корпоративен анализ. Пътеводител. София, Класика и стил, 2001ТИВАНОВА, Р., ТОДОРОВ, Л. Финансово-стопански анализ. София, Тракия-М,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57. </w:t>
            </w:r>
            <w:r>
              <w:rPr>
                <w:rFonts w:ascii="Times New Roman" w:hAnsi="Times New Roman"/>
                <w:bCs/>
                <w:color w:val="222222"/>
                <w:spacing w:val="-7"/>
                <w:sz w:val="24"/>
                <w:szCs w:val="24"/>
              </w:rPr>
              <w:t>GLEIM, I. N., CIA REVIEW, Part I, Internal Audit Role in Governance, Risk and Control, 11th Edition, Gleim Publications, Inc.,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58. </w:t>
            </w:r>
            <w:r>
              <w:rPr>
                <w:rFonts w:ascii="Times New Roman" w:hAnsi="Times New Roman"/>
                <w:bCs/>
                <w:color w:val="222222"/>
                <w:spacing w:val="-7"/>
                <w:sz w:val="24"/>
                <w:szCs w:val="24"/>
              </w:rPr>
              <w:t>GLEIM, I. N., CIA REVIEW, Part II, Performing Internal Audit Engagements, 11th Edition, Gleim Publications, Inc.,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59. </w:t>
            </w:r>
            <w:r>
              <w:rPr>
                <w:rFonts w:ascii="Times New Roman" w:hAnsi="Times New Roman"/>
                <w:bCs/>
                <w:color w:val="222222"/>
                <w:spacing w:val="-7"/>
                <w:sz w:val="24"/>
                <w:szCs w:val="24"/>
              </w:rPr>
              <w:t>GLEIM, I. N., CIA REVIEW, Part III, Business Analyses and Informational Technologies, 11th Edition, Gleim Publications, Inc.,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60. </w:t>
            </w:r>
            <w:r>
              <w:rPr>
                <w:rFonts w:ascii="Times New Roman" w:hAnsi="Times New Roman"/>
                <w:bCs/>
                <w:color w:val="222222"/>
                <w:spacing w:val="-7"/>
                <w:sz w:val="24"/>
                <w:szCs w:val="24"/>
              </w:rPr>
              <w:t>GLEIM, I. N., CIA REVIEW, Part IV, Management Skills, 11th Edition, Gleim Publications, Inc.,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61. </w:t>
            </w:r>
            <w:r>
              <w:rPr>
                <w:rFonts w:ascii="Times New Roman" w:hAnsi="Times New Roman"/>
                <w:bCs/>
                <w:color w:val="222222"/>
                <w:spacing w:val="-7"/>
                <w:sz w:val="24"/>
                <w:szCs w:val="24"/>
              </w:rPr>
              <w:t>HERMANSON, R., STRAWSVER, J., STRAUSWER, R. Auditing Theori and practis, 1999АВЕРКОВИЧ, ЕК. и др. Управленско счетоводство. В. Търново,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62. </w:t>
            </w:r>
            <w:r>
              <w:rPr>
                <w:rFonts w:ascii="Times New Roman" w:hAnsi="Times New Roman"/>
                <w:bCs/>
                <w:color w:val="222222"/>
                <w:spacing w:val="-7"/>
                <w:sz w:val="24"/>
                <w:szCs w:val="24"/>
              </w:rPr>
              <w:t>SAWYER, L. B., Internal Auditing, 5th Edition, The IIA, Florida, 2003.</w:t>
            </w:r>
          </w:p>
        </w:tc>
      </w:tr>
    </w:tbl>
    <w:p w14:paraId="66568A38" w14:textId="77777777"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p>
    <w:p w14:paraId="21017876" w14:textId="2C2E2C94"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lastRenderedPageBreak/>
        <w:t xml:space="preserve">   </w:t>
      </w:r>
      <w:r w:rsidR="00E03427">
        <w:rPr>
          <w:rFonts w:ascii="Times New Roman" w:hAnsi="Times New Roman"/>
          <w:b/>
          <w:sz w:val="28"/>
          <w:szCs w:val="28"/>
        </w:rPr>
        <w:t>4</w:t>
      </w:r>
      <w:r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ГАБРОВСКИ Р., ИЛИЕВ, Б. Корпоративен риск мениджмънт. Свищов, АИ “Ценов”, 2000.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ДИНЕВ Д., КРЪСТЕВ, Т.  Анализ на финансово-счетоводните отчети. София, 1992.</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КАМЕНОВ, К. и др. Управление на риска. Свищов, 1997.</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КОЛЕВА, Р. Анализ на финансовото състояние на предприятието по данни на годишния финансов отчет. Използване на европейските модели за създаване на счетоводна информация и синхронизиране на счетоводните практики в страните от централна и източна Европа. Сборник студии. В. Търново, 2009.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КЪРКПАТРИК, Ч. И ДЖ. ДАЛКУИСТ. „Технически анализ, пълен справочник за технически анализатори на финансовите пазари”, Актив Плюс Партнерс ООД – Русе, 2010 г. ISBN 978-954-92-557-1-3.</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ЛОРЪНС, Г. Финансов инженеринг (Инструменти и техники за управление на финансовия риск), Бургас, Делфинпрес, 1994.</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МИХАЙЛОВ, М. и др. Финансово-икономически анализ на предприятието. Свищов, 1996.</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НИЙЛИ, А. Перспективи за развитие на бизнеса. София, Класика и стил, 2001.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НИКОЛОВ, Н. Финансов анализ. Варна, Princeps, 1995.</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ПРОФЕСИОНАЛНИ практики по вътрешен одит, The IIA Research Foundation, изд. ИВОБ, София, Сиела, 2010.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РАЙКОВ, Г. Основи на финансовия мениджмънт. Варна, Галактика, 1996.</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СИМЕОНОВ, Ст. (2020) „Анализ на активността на основните източноазиатски фондови борси (в периода 2007 – 2019 г.)“. E-Journal VFU, Бр. 13. 1, 2020.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СИМЕОНОВ, Ст. „Измерители на борсовата активност - изследване на индикаторите и анализ на пазарния тренд“ // Библиотека „Стопански свят“, бр. 131, Академично издателство „Ценов“, Свищов.</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СИМЕОНОВ, Ст. и ЛАМАЙ, Б. (2020) „Допълване на инвестиционния профил с франчизната стойност, анализ на дружества от SOFIX“, E-Journal VFU.</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СИМЕОНОВ, Ст., НИКОЛАЕВ, Д. и ТОДОРОВ, Т. „Детерминанти на борсовата активност в условията на българския фондов пазар“. Електронно списание „Диалог“, бр. 1, 2020.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СИМЕОНОВ, Ст., ТОДОРОВ, Т. и НИКОЛАЕВ, Д. „Прогнозиране курса на най-разпространените криптовалути“. Списание „Финанси“, бр. 1, 2020.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СИМЕОНОВ, Ст.; ТОДОРОВ, Т. и НИКОЛАЕВ, Д.  „Изследване на факторното влияние върху активността на Българска фондова борса“. Сборник статии от Юбилейна международна научна конференция 70 години Институт за икономически изследвания при БАН „Икономи-ческо развитие и политики: реалности и перспективи“. София.</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СИМЕОНОВ, Ст.; ТОДОРОВ, Т. и НИКОЛАЕВ, Д. „Развитие на честотния анализ на променливостта в модел за прогнозиране тренда на финансовите пазари и сравнителна емпирична оценка с техническия анализ“, Елек¬тронно списание „Диалог“, Бр. 1, 2019.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Наръчник на икономиста</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Сп. "Вътрешен одитор"</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Сп. Бюджет и  бюджетна политика</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22. </w:t>
            </w:r>
            <w:r>
              <w:rPr>
                <w:rFonts w:ascii="Times New Roman" w:hAnsi="Times New Roman"/>
                <w:bCs/>
                <w:color w:val="222222"/>
                <w:spacing w:val="-7"/>
                <w:sz w:val="24"/>
                <w:szCs w:val="24"/>
              </w:rPr>
              <w:t>Сп. Вътрешен одит</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23. </w:t>
            </w:r>
            <w:r>
              <w:rPr>
                <w:rFonts w:ascii="Times New Roman" w:hAnsi="Times New Roman"/>
                <w:bCs/>
                <w:color w:val="222222"/>
                <w:spacing w:val="-7"/>
                <w:sz w:val="24"/>
                <w:szCs w:val="24"/>
              </w:rPr>
              <w:t>Сп. Данъчи и социално осигуряване</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24. </w:t>
            </w:r>
            <w:r>
              <w:rPr>
                <w:rFonts w:ascii="Times New Roman" w:hAnsi="Times New Roman"/>
                <w:bCs/>
                <w:color w:val="222222"/>
                <w:spacing w:val="-7"/>
                <w:sz w:val="24"/>
                <w:szCs w:val="24"/>
              </w:rPr>
              <w:t>Сп. Обществени поръчки</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25. </w:t>
            </w:r>
            <w:r>
              <w:rPr>
                <w:rFonts w:ascii="Times New Roman" w:hAnsi="Times New Roman"/>
                <w:bCs/>
                <w:color w:val="222222"/>
                <w:spacing w:val="-7"/>
                <w:sz w:val="24"/>
                <w:szCs w:val="24"/>
              </w:rPr>
              <w:t>Сп. Счетоводство +</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26. </w:t>
            </w:r>
            <w:r>
              <w:rPr>
                <w:rFonts w:ascii="Times New Roman" w:hAnsi="Times New Roman"/>
                <w:bCs/>
                <w:color w:val="222222"/>
                <w:spacing w:val="-7"/>
                <w:sz w:val="24"/>
                <w:szCs w:val="24"/>
              </w:rPr>
              <w:t>СТАНОВИЩА за одит, изразяване на сигурност и етика. София, Сиела, 2009, част І и ІІInternational Professional Practices Framework (IPPF), The IIA, 2017 Edition.</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27. </w:t>
            </w:r>
            <w:r>
              <w:rPr>
                <w:rFonts w:ascii="Times New Roman" w:hAnsi="Times New Roman"/>
                <w:bCs/>
                <w:color w:val="222222"/>
                <w:spacing w:val="-7"/>
                <w:sz w:val="24"/>
                <w:szCs w:val="24"/>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 - издание 2018, ИДЕС, София.</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28. </w:t>
            </w:r>
            <w:r>
              <w:rPr>
                <w:rFonts w:ascii="Times New Roman" w:hAnsi="Times New Roman"/>
                <w:bCs/>
                <w:color w:val="222222"/>
                <w:spacing w:val="-7"/>
                <w:sz w:val="24"/>
                <w:szCs w:val="24"/>
              </w:rPr>
              <w:t>АНАЛИЗ финансово-экономической деятельности предприятия. под. ред Любушина Н. П. Москва, ЮНИТИ, 2000.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29. </w:t>
            </w:r>
            <w:r>
              <w:rPr>
                <w:rFonts w:ascii="Times New Roman" w:hAnsi="Times New Roman"/>
                <w:bCs/>
                <w:color w:val="222222"/>
                <w:spacing w:val="-7"/>
                <w:sz w:val="24"/>
                <w:szCs w:val="24"/>
              </w:rPr>
              <w:t>БЛАНК, И. А. Инвестиционный менеджмент. Киев, НИКА – ЦЕНТЪР, ЭЛЬГА-Н, 2001.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30. </w:t>
            </w:r>
            <w:r>
              <w:rPr>
                <w:rFonts w:ascii="Times New Roman" w:hAnsi="Times New Roman"/>
                <w:bCs/>
                <w:color w:val="222222"/>
                <w:spacing w:val="-7"/>
                <w:sz w:val="24"/>
                <w:szCs w:val="24"/>
              </w:rPr>
              <w:t>ФЕДОРОВА, Г. В. Учет и анализ банкротств. Москва, Омега-Л, 2011.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31. </w:t>
            </w:r>
            <w:r>
              <w:rPr>
                <w:rFonts w:ascii="Times New Roman" w:hAnsi="Times New Roman"/>
                <w:bCs/>
                <w:color w:val="222222"/>
                <w:spacing w:val="-7"/>
                <w:sz w:val="24"/>
                <w:szCs w:val="24"/>
              </w:rPr>
              <w:t>ХОХЛОВ, Н. В. Управление риском. Москва, ЮНИТИ, 1999.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32. </w:t>
            </w:r>
            <w:r>
              <w:rPr>
                <w:rFonts w:ascii="Times New Roman" w:hAnsi="Times New Roman"/>
                <w:bCs/>
                <w:color w:val="222222"/>
                <w:spacing w:val="-7"/>
                <w:sz w:val="24"/>
                <w:szCs w:val="24"/>
              </w:rPr>
              <w:t>ЧЕРНЯК, В. З. Оценка бизнеса. Москва, Финансы и статистика, 1996.</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33. </w:t>
            </w:r>
            <w:r>
              <w:rPr>
                <w:rFonts w:ascii="Times New Roman" w:hAnsi="Times New Roman"/>
                <w:bCs/>
                <w:color w:val="222222"/>
                <w:spacing w:val="-7"/>
                <w:sz w:val="24"/>
                <w:szCs w:val="24"/>
              </w:rPr>
              <w:t>CARLSON, ED. GEORGE LINDSAY. The Art of Technical Analysis: Trading Systems of a Market Master, FT Press; ISBN-13: 978-01326990681, 1-st edition (August 1, 2011).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34. </w:t>
            </w:r>
            <w:r>
              <w:rPr>
                <w:rFonts w:ascii="Times New Roman" w:hAnsi="Times New Roman"/>
                <w:bCs/>
                <w:color w:val="222222"/>
                <w:spacing w:val="-7"/>
                <w:sz w:val="24"/>
                <w:szCs w:val="24"/>
              </w:rPr>
              <w:t>CHARLES D. KIRKPATRICK, JULIE R. DAHLQUIST, Technical Analysis: The Complete Resource for Financial Market Technicians, FT Press; 2-nd edition. ISBN-13: 978-0137059447 (November 25, 2010).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35. </w:t>
            </w:r>
            <w:r>
              <w:rPr>
                <w:rFonts w:ascii="Times New Roman" w:hAnsi="Times New Roman"/>
                <w:bCs/>
                <w:color w:val="222222"/>
                <w:spacing w:val="-7"/>
                <w:sz w:val="24"/>
                <w:szCs w:val="24"/>
              </w:rPr>
              <w:t>CHARLES, P. Investments: Analysis and Management, Jones Wiley; 11-th edition. ISBN-13: 978-0470477120; (October 27, 2009).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36. </w:t>
            </w:r>
            <w:r>
              <w:rPr>
                <w:rFonts w:ascii="Times New Roman" w:hAnsi="Times New Roman"/>
                <w:bCs/>
                <w:color w:val="222222"/>
                <w:spacing w:val="-7"/>
                <w:sz w:val="24"/>
                <w:szCs w:val="24"/>
              </w:rPr>
              <w:t>EDWIN J. ELTON, MARTIN J. GRUBER, STEPHEN J. BROWN, WILLIAM N. GOETZMANN. Modern Portfolio Theory and Investment Analysis, Wiley, 8 edition ISBN-13: 978-0470388327. (November 16, 2009).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37. </w:t>
            </w:r>
            <w:r>
              <w:rPr>
                <w:rFonts w:ascii="Times New Roman" w:hAnsi="Times New Roman"/>
                <w:bCs/>
                <w:color w:val="222222"/>
                <w:spacing w:val="-7"/>
                <w:sz w:val="24"/>
                <w:szCs w:val="24"/>
              </w:rPr>
              <w:t>FRANK J. FABOZZI CFA, HARRY M. Equity Valuation and Portfolio Management. Markowitz, Wiley; 1 edition, ISBN-13: 978-0470929919 (October 4, 2011).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38. </w:t>
            </w:r>
            <w:r>
              <w:rPr>
                <w:rFonts w:ascii="Times New Roman" w:hAnsi="Times New Roman"/>
                <w:bCs/>
                <w:color w:val="222222"/>
                <w:spacing w:val="-7"/>
                <w:sz w:val="24"/>
                <w:szCs w:val="24"/>
              </w:rPr>
              <w:t>FRANK J. FABOZZI. BOND MARKETS, Analysis and Strategies, Prentice Hall; 8-th edition. ISBN-13: 978-0132743549 (January 16, 2012).</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39. </w:t>
            </w:r>
            <w:r>
              <w:rPr>
                <w:rFonts w:ascii="Times New Roman" w:hAnsi="Times New Roman"/>
                <w:bCs/>
                <w:color w:val="222222"/>
                <w:spacing w:val="-7"/>
                <w:sz w:val="24"/>
                <w:szCs w:val="24"/>
              </w:rPr>
              <w:t>FRANK K. REILLY, KEITH C. Investment Analysis and Portfolio Management, Brown, South-Western College Pub. ISBN-13: 978-0538482387, 10 edition (December 9, 2011).Geoffrey, H. and Stanley Block. Fundamentals of Investment Management, McGraw-Hill/Irwin; 10 edition, ISBN-13: 978-0078034626. (June 20, 2011).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40. </w:t>
            </w:r>
            <w:r>
              <w:rPr>
                <w:rFonts w:ascii="Times New Roman" w:hAnsi="Times New Roman"/>
                <w:bCs/>
                <w:color w:val="222222"/>
                <w:spacing w:val="-7"/>
                <w:sz w:val="24"/>
                <w:szCs w:val="24"/>
              </w:rPr>
              <w:t>GLEN NEELY. “Mastering Elliot Wave: Presenting the Neely Method: The First Scientific, Objective Approach to Market Forecasting with the Elliott Wave Theory”, Windsor Books, 1998.</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41. </w:t>
            </w:r>
            <w:r>
              <w:rPr>
                <w:rFonts w:ascii="Times New Roman" w:hAnsi="Times New Roman"/>
                <w:bCs/>
                <w:color w:val="222222"/>
                <w:spacing w:val="-7"/>
                <w:sz w:val="24"/>
                <w:szCs w:val="24"/>
              </w:rPr>
              <w:t>IAN COPSEY. Harmonic Elliott Wave: The Case for Modification of R. N. Elliotts Impulsive Wave Structure, Wiley; 1 edition ISBN-13: 978-0470828700. (June 7, 2011).</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42. </w:t>
            </w:r>
            <w:r>
              <w:rPr>
                <w:rFonts w:ascii="Times New Roman" w:hAnsi="Times New Roman"/>
                <w:bCs/>
                <w:color w:val="222222"/>
                <w:spacing w:val="-7"/>
                <w:sz w:val="24"/>
                <w:szCs w:val="24"/>
              </w:rPr>
              <w:t>SIMEONOV, ST. AND TODOROV, T. „Designing the Investment Profile of the Shares Traded on the Bulgarian Stock Exchange, in the period from august 2016 to december 2017“, Interuniversity Journal Economics 21, Year VIII, Book 1, 2018.</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43. </w:t>
            </w:r>
            <w:r>
              <w:rPr>
                <w:rFonts w:ascii="Times New Roman" w:hAnsi="Times New Roman"/>
                <w:bCs/>
                <w:color w:val="222222"/>
                <w:spacing w:val="-7"/>
                <w:sz w:val="24"/>
                <w:szCs w:val="24"/>
              </w:rPr>
              <w:t>COSO-Committee of Sponsoring Organizations of the Treadway Committee, 2013.</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44. </w:t>
            </w:r>
            <w:r>
              <w:rPr>
                <w:rFonts w:ascii="Times New Roman" w:hAnsi="Times New Roman"/>
                <w:bCs/>
                <w:color w:val="222222"/>
                <w:spacing w:val="-7"/>
                <w:sz w:val="24"/>
                <w:szCs w:val="24"/>
              </w:rPr>
              <w:t>COSO-Enterprise Risk Management Framework, Price Waterhouse Cooper, AICPA, 2004. American Institute of Certified Public Accountants, “Statement on Auditing Standards No 1”, New York, AICPA, last updated in 2015.</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45. </w:t>
            </w:r>
            <w:r>
              <w:rPr>
                <w:rFonts w:ascii="Times New Roman" w:hAnsi="Times New Roman"/>
                <w:bCs/>
                <w:color w:val="222222"/>
                <w:spacing w:val="-7"/>
                <w:sz w:val="24"/>
                <w:szCs w:val="24"/>
              </w:rPr>
              <w:t>БДС EN ISO 9000:2015 ”Системи за управление на качеството”, София, ДАСМ, 2015. БДС EN ISO 9004:2005 „СУК – Указания за подобряване на постиженията”, София ДАСМ, 2005. СТАНДАРТ по управление на риска, AIRMIC, ALARM, IRM: 2002, translation copyright FERMA: 2003. МЕЖДУНАРОДНО признати одитни стандарти, ИНТОСАЙ, 2016.</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46. </w:t>
            </w:r>
            <w:r>
              <w:rPr>
                <w:rFonts w:ascii="Times New Roman" w:hAnsi="Times New Roman"/>
                <w:bCs/>
                <w:color w:val="222222"/>
                <w:spacing w:val="-7"/>
                <w:sz w:val="24"/>
                <w:szCs w:val="24"/>
              </w:rPr>
              <w:t>БДС EN ISO 9004:2005 „СУК – Указания за подобряване на постиженията”, София ДАСМ, 2005.</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47. </w:t>
            </w:r>
            <w:r>
              <w:rPr>
                <w:rFonts w:ascii="Times New Roman" w:hAnsi="Times New Roman"/>
                <w:bCs/>
                <w:color w:val="222222"/>
                <w:spacing w:val="-7"/>
                <w:sz w:val="24"/>
                <w:szCs w:val="24"/>
              </w:rPr>
              <w:t>СТАНДАРТ по управление на риска, AIRMIC, ALARM, IRM: 2002, translation copyright FERMA: 2003.</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48. </w:t>
            </w:r>
            <w:r>
              <w:rPr>
                <w:rFonts w:ascii="Times New Roman" w:hAnsi="Times New Roman"/>
                <w:bCs/>
                <w:color w:val="222222"/>
                <w:spacing w:val="-7"/>
                <w:sz w:val="24"/>
                <w:szCs w:val="24"/>
              </w:rPr>
              <w:t>МЕЖДУНАРОДНО признати одитни стандарти, ИНТОСАЙ, 2016.</w:t>
            </w:r>
          </w:p>
        </w:tc>
      </w:tr>
    </w:tbl>
    <w:p w14:paraId="35AB563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091751A1" w14:textId="3FBEDB5E"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държавния бюджет</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акцизите и данъчните складове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вътрешния одит</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вътрешния одит в публичния сектор</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данък върху добавената стойност</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данъците върху доходите на физическите лица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ЗАКОН за държавната финансова инспекция</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ЗАКОН за корпоративното подоходно облагане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ЗАКОН за кредитните институции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ЗАКОН за местните данъци и такси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ЗАКОН за местното самоуправление и местната администрация</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ЗАКОН за Националната агенция за приходите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ЗАКОН за независимия финансов одит</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ЗАКОН за публичните финанси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ЗАКОН за Сметната палата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ЗАКОН за счетоводството</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ЗАКОН за финансово управление и контрол в публичния сектор</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Данъчно-осигурителен процесуален кодекс</w:t>
            </w:r>
          </w:p>
        </w:tc>
      </w:tr>
    </w:tbl>
    <w:p w14:paraId="588369C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447DEEBB" w14:textId="4BFBE439"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http://dlib.uni-svishtov.bg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http://minfin.bg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http://onlinelibrary.wiley.com/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http://wlib.uni-svishtov.bg/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http://www.bse-sofia.bg/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http://www.bulnao.government.bg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http://www.ides.bg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http://www.iiabg.org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http://www.investor.bg/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http://www.lex.bg/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http://www.pages.stern.nyu.edu/~adamodar/</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http://www.pls.bnb.bg/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http://www.powerbranding.ru/biznes-analiz/</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http://www.scopus.com/</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https://europa.eu/european-union/about-eu/institutions-bodies/european-court-auditors_bg</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https://na.theiia.org/Pages/IIAHome.aspx</w:t>
            </w:r>
          </w:p>
        </w:tc>
      </w:tr>
    </w:tbl>
    <w:p w14:paraId="53E1D7EF" w14:textId="77777777" w:rsidR="00346CE1" w:rsidRDefault="00346CE1" w:rsidP="00821D83">
      <w:pPr>
        <w:shd w:val="clear" w:color="auto" w:fill="FFFFFF"/>
        <w:spacing w:line="240" w:lineRule="atLeast"/>
        <w:rPr>
          <w:rFonts w:ascii="Times New Roman" w:hAnsi="Times New Roman"/>
          <w:bCs/>
          <w:color w:val="222222"/>
          <w:spacing w:val="-7"/>
          <w:sz w:val="24"/>
          <w:szCs w:val="24"/>
        </w:rPr>
      </w:pPr>
    </w:p>
    <w:p w14:paraId="2D16DD39" w14:textId="77777777" w:rsidR="00E018D7" w:rsidRPr="00DB7127" w:rsidRDefault="00E018D7" w:rsidP="00821D83">
      <w:pPr>
        <w:shd w:val="clear" w:color="auto" w:fill="FFFFFF"/>
        <w:spacing w:line="240" w:lineRule="atLeast"/>
        <w:rPr>
          <w:rFonts w:ascii="Times New Roman" w:hAnsi="Times New Roman"/>
          <w:bCs/>
          <w:color w:val="222222"/>
          <w:spacing w:val="-7"/>
          <w:sz w:val="24"/>
          <w:szCs w:val="24"/>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Георги Иванов)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Росица Колева)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Галя Кушева)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${authors#4}</w:t>
            </w:r>
            <w:r w:rsidRPr="00C10B36">
              <w:rPr>
                <w:rFonts w:ascii="Times New Roman" w:hAnsi="Times New Roman"/>
                <w:bCs/>
                <w:color w:val="222222"/>
                <w:sz w:val="24"/>
                <w:szCs w:val="24"/>
              </w:rPr>
              <w:t>(</w:t>
            </w:r>
            <w:r>
              <w:rPr>
                <w:rFonts w:ascii="Times New Roman" w:hAnsi="Times New Roman"/>
                <w:bCs/>
                <w:color w:val="222222"/>
                <w:sz w:val="24"/>
                <w:szCs w:val="24"/>
              </w:rPr>
              <w:t>гл. ас. д-р Красимир Кулчев)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Силвия Костова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603" w14:textId="77777777" w:rsidR="00B04DA0" w:rsidRDefault="00B04DA0">
      <w:r>
        <w:separator/>
      </w:r>
    </w:p>
  </w:endnote>
  <w:endnote w:type="continuationSeparator" w:id="0">
    <w:p w14:paraId="6DA21A8C" w14:textId="77777777" w:rsidR="00B04DA0" w:rsidRDefault="00B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w:t>
    </w:r>
    <w:proofErr w:type="spellStart"/>
    <w:r w:rsidRPr="00C32E02">
      <w:rPr>
        <w:rFonts w:ascii="Times New Roman" w:hAnsi="Times New Roman"/>
        <w:i/>
        <w:sz w:val="20"/>
        <w:lang w:val="ru-RU"/>
      </w:rPr>
      <w:t>Икономическото</w:t>
    </w:r>
    <w:proofErr w:type="spellEnd"/>
    <w:r w:rsidRPr="00C32E02">
      <w:rPr>
        <w:rFonts w:ascii="Times New Roman" w:hAnsi="Times New Roman"/>
        <w:i/>
        <w:sz w:val="20"/>
        <w:lang w:val="ru-RU"/>
      </w:rPr>
      <w:t xml:space="preserve"> образование в </w:t>
    </w:r>
    <w:proofErr w:type="spellStart"/>
    <w:r w:rsidRPr="00C32E02">
      <w:rPr>
        <w:rFonts w:ascii="Times New Roman" w:hAnsi="Times New Roman"/>
        <w:i/>
        <w:sz w:val="20"/>
        <w:lang w:val="ru-RU"/>
      </w:rPr>
      <w:t>България</w:t>
    </w:r>
    <w:proofErr w:type="spellEnd"/>
    <w:r w:rsidRPr="00C32E02">
      <w:rPr>
        <w:rFonts w:ascii="Times New Roman" w:hAnsi="Times New Roman"/>
        <w:i/>
        <w:sz w:val="20"/>
        <w:lang w:val="ru-RU"/>
      </w:rPr>
      <w:t xml:space="preserve"> 2030“, </w:t>
    </w:r>
    <w:proofErr w:type="spellStart"/>
    <w:r w:rsidRPr="00C32E02">
      <w:rPr>
        <w:rFonts w:ascii="Times New Roman" w:hAnsi="Times New Roman"/>
        <w:i/>
        <w:sz w:val="20"/>
        <w:lang w:val="ru-RU"/>
      </w:rPr>
      <w:t>финансиран</w:t>
    </w:r>
    <w:proofErr w:type="spellEnd"/>
    <w:r w:rsidRPr="00C32E02">
      <w:rPr>
        <w:rFonts w:ascii="Times New Roman" w:hAnsi="Times New Roman"/>
        <w:i/>
        <w:sz w:val="20"/>
        <w:lang w:val="ru-RU"/>
      </w:rPr>
      <w:t xml:space="preserve"> от Оперативна </w:t>
    </w:r>
    <w:proofErr w:type="spellStart"/>
    <w:r w:rsidRPr="00C32E02">
      <w:rPr>
        <w:rFonts w:ascii="Times New Roman" w:hAnsi="Times New Roman"/>
        <w:i/>
        <w:sz w:val="20"/>
        <w:lang w:val="ru-RU"/>
      </w:rPr>
      <w:t>програма</w:t>
    </w:r>
    <w:proofErr w:type="spellEnd"/>
    <w:r w:rsidRPr="00C32E02">
      <w:rPr>
        <w:rFonts w:ascii="Times New Roman" w:hAnsi="Times New Roman"/>
        <w:i/>
        <w:sz w:val="20"/>
        <w:lang w:val="ru-RU"/>
      </w:rPr>
      <w:t xml:space="preserve"> „Наука и образование за </w:t>
    </w:r>
    <w:proofErr w:type="spellStart"/>
    <w:r w:rsidRPr="00C32E02">
      <w:rPr>
        <w:rFonts w:ascii="Times New Roman" w:hAnsi="Times New Roman"/>
        <w:i/>
        <w:sz w:val="20"/>
        <w:lang w:val="ru-RU"/>
      </w:rPr>
      <w:t>интелигентен</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растеж</w:t>
    </w:r>
    <w:proofErr w:type="spellEnd"/>
    <w:r w:rsidRPr="00C32E02">
      <w:rPr>
        <w:rFonts w:ascii="Times New Roman" w:hAnsi="Times New Roman"/>
        <w:i/>
        <w:sz w:val="20"/>
        <w:lang w:val="ru-RU"/>
      </w:rPr>
      <w:t>“</w:t>
    </w:r>
    <w:r w:rsidRPr="00C32E02">
      <w:rPr>
        <w:rFonts w:ascii="Times New Roman" w:hAnsi="Times New Roman"/>
        <w:i/>
        <w:sz w:val="20"/>
        <w:lang w:val="bg-BG"/>
      </w:rPr>
      <w:t>,</w:t>
    </w:r>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съфинансирана</w:t>
    </w:r>
    <w:proofErr w:type="spellEnd"/>
    <w:r w:rsidRPr="00C32E02">
      <w:rPr>
        <w:rFonts w:ascii="Times New Roman" w:hAnsi="Times New Roman"/>
        <w:i/>
        <w:sz w:val="20"/>
        <w:lang w:val="ru-RU"/>
      </w:rPr>
      <w:t xml:space="preserve"> от </w:t>
    </w:r>
    <w:proofErr w:type="spellStart"/>
    <w:r w:rsidRPr="00C32E02">
      <w:rPr>
        <w:rFonts w:ascii="Times New Roman" w:hAnsi="Times New Roman"/>
        <w:i/>
        <w:sz w:val="20"/>
        <w:lang w:val="ru-RU"/>
      </w:rPr>
      <w:t>Европейския</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съюз</w:t>
    </w:r>
    <w:proofErr w:type="spellEnd"/>
    <w:r w:rsidRPr="00C32E02">
      <w:rPr>
        <w:rFonts w:ascii="Times New Roman" w:hAnsi="Times New Roman"/>
        <w:i/>
        <w:sz w:val="20"/>
        <w:lang w:val="ru-RU"/>
      </w:rPr>
      <w:t xml:space="preserve"> чрез </w:t>
    </w:r>
    <w:proofErr w:type="spellStart"/>
    <w:r w:rsidRPr="00C32E02">
      <w:rPr>
        <w:rFonts w:ascii="Times New Roman" w:hAnsi="Times New Roman"/>
        <w:i/>
        <w:sz w:val="20"/>
        <w:lang w:val="ru-RU"/>
      </w:rPr>
      <w:t>Европейските</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структурни</w:t>
    </w:r>
    <w:proofErr w:type="spellEnd"/>
    <w:r w:rsidRPr="00C32E02">
      <w:rPr>
        <w:rFonts w:ascii="Times New Roman" w:hAnsi="Times New Roman"/>
        <w:i/>
        <w:sz w:val="20"/>
        <w:lang w:val="ru-RU"/>
      </w:rPr>
      <w:t xml:space="preserve"> и </w:t>
    </w:r>
    <w:proofErr w:type="spellStart"/>
    <w:r w:rsidRPr="00C32E02">
      <w:rPr>
        <w:rFonts w:ascii="Times New Roman" w:hAnsi="Times New Roman"/>
        <w:i/>
        <w:sz w:val="20"/>
        <w:lang w:val="ru-RU"/>
      </w:rPr>
      <w:t>инвестиционни</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фондове</w:t>
    </w:r>
    <w:proofErr w:type="spellEnd"/>
    <w:r w:rsidRPr="00C32E02">
      <w:rPr>
        <w:rFonts w:ascii="Times New Roman" w:hAnsi="Times New Roman"/>
        <w:i/>
        <w:sz w:val="20"/>
        <w:lang w:val="ru-RU"/>
      </w:rPr>
      <w:t>.</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C77" w14:textId="77777777" w:rsidR="00B04DA0" w:rsidRDefault="00B04DA0">
      <w:r>
        <w:separator/>
      </w:r>
    </w:p>
  </w:footnote>
  <w:footnote w:type="continuationSeparator" w:id="0">
    <w:p w14:paraId="541A5FCB" w14:textId="77777777" w:rsidR="00B04DA0" w:rsidRDefault="00B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B04DA0"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8936BA5"/>
    <w:multiLevelType w:val="hybridMultilevel"/>
    <w:tmpl w:val="EEEEA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3B7BB6"/>
    <w:multiLevelType w:val="hybridMultilevel"/>
    <w:tmpl w:val="EE085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923F4B"/>
    <w:multiLevelType w:val="hybridMultilevel"/>
    <w:tmpl w:val="B7781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9"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220411"/>
    <w:multiLevelType w:val="hybridMultilevel"/>
    <w:tmpl w:val="22184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D10BBF"/>
    <w:multiLevelType w:val="multilevel"/>
    <w:tmpl w:val="DFAA0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9"/>
  </w:num>
  <w:num w:numId="4">
    <w:abstractNumId w:val="0"/>
  </w:num>
  <w:num w:numId="5">
    <w:abstractNumId w:val="10"/>
  </w:num>
  <w:num w:numId="6">
    <w:abstractNumId w:val="2"/>
  </w:num>
  <w:num w:numId="7">
    <w:abstractNumId w:val="6"/>
  </w:num>
  <w:num w:numId="8">
    <w:abstractNumId w:val="8"/>
  </w:num>
  <w:num w:numId="9">
    <w:abstractNumId w:val="11"/>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47CB1"/>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0BC"/>
    <w:rsid w:val="0028710D"/>
    <w:rsid w:val="002944F7"/>
    <w:rsid w:val="00295F94"/>
    <w:rsid w:val="002A706D"/>
    <w:rsid w:val="002A7805"/>
    <w:rsid w:val="002B00E2"/>
    <w:rsid w:val="002B255E"/>
    <w:rsid w:val="002B2CB9"/>
    <w:rsid w:val="002B792A"/>
    <w:rsid w:val="002D6839"/>
    <w:rsid w:val="002E1408"/>
    <w:rsid w:val="002E4701"/>
    <w:rsid w:val="002E5D93"/>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6CE1"/>
    <w:rsid w:val="003474A8"/>
    <w:rsid w:val="00354F43"/>
    <w:rsid w:val="00374A48"/>
    <w:rsid w:val="003753DC"/>
    <w:rsid w:val="00382F94"/>
    <w:rsid w:val="00390CF2"/>
    <w:rsid w:val="0039729B"/>
    <w:rsid w:val="00397EEA"/>
    <w:rsid w:val="003C2930"/>
    <w:rsid w:val="003C3856"/>
    <w:rsid w:val="003C69C4"/>
    <w:rsid w:val="003D232B"/>
    <w:rsid w:val="003D2FD1"/>
    <w:rsid w:val="003D31E5"/>
    <w:rsid w:val="003E2F94"/>
    <w:rsid w:val="003F04BB"/>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87F0F"/>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352D9"/>
    <w:rsid w:val="00541760"/>
    <w:rsid w:val="00543E36"/>
    <w:rsid w:val="00546B7B"/>
    <w:rsid w:val="00551402"/>
    <w:rsid w:val="00551A85"/>
    <w:rsid w:val="0056470F"/>
    <w:rsid w:val="00580D4A"/>
    <w:rsid w:val="00591FF0"/>
    <w:rsid w:val="0059344B"/>
    <w:rsid w:val="005A0423"/>
    <w:rsid w:val="005B0871"/>
    <w:rsid w:val="005B5C50"/>
    <w:rsid w:val="005D1AD9"/>
    <w:rsid w:val="005D2229"/>
    <w:rsid w:val="005D25B2"/>
    <w:rsid w:val="005D6DE9"/>
    <w:rsid w:val="005E37FF"/>
    <w:rsid w:val="005E448E"/>
    <w:rsid w:val="005E5DF5"/>
    <w:rsid w:val="005F618F"/>
    <w:rsid w:val="00603B07"/>
    <w:rsid w:val="006063F8"/>
    <w:rsid w:val="0061322A"/>
    <w:rsid w:val="00614B0F"/>
    <w:rsid w:val="00616C41"/>
    <w:rsid w:val="00621AC0"/>
    <w:rsid w:val="006255AB"/>
    <w:rsid w:val="006279EC"/>
    <w:rsid w:val="00634A7D"/>
    <w:rsid w:val="00643E0A"/>
    <w:rsid w:val="0065348E"/>
    <w:rsid w:val="00666980"/>
    <w:rsid w:val="00672596"/>
    <w:rsid w:val="00676498"/>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3EC5"/>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5A1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21D83"/>
    <w:rsid w:val="008308C4"/>
    <w:rsid w:val="008318C5"/>
    <w:rsid w:val="00831D30"/>
    <w:rsid w:val="00844C87"/>
    <w:rsid w:val="00845130"/>
    <w:rsid w:val="00850D27"/>
    <w:rsid w:val="00851011"/>
    <w:rsid w:val="00851A48"/>
    <w:rsid w:val="008564BE"/>
    <w:rsid w:val="00861C59"/>
    <w:rsid w:val="008633A2"/>
    <w:rsid w:val="00865DDB"/>
    <w:rsid w:val="00866CCD"/>
    <w:rsid w:val="0087237F"/>
    <w:rsid w:val="00872565"/>
    <w:rsid w:val="008742B5"/>
    <w:rsid w:val="00880DFD"/>
    <w:rsid w:val="00883BC3"/>
    <w:rsid w:val="008919B1"/>
    <w:rsid w:val="008A501D"/>
    <w:rsid w:val="008B7886"/>
    <w:rsid w:val="008D04AA"/>
    <w:rsid w:val="008D2878"/>
    <w:rsid w:val="008D3DCC"/>
    <w:rsid w:val="008D41D4"/>
    <w:rsid w:val="008D4D57"/>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943E5"/>
    <w:rsid w:val="009A0D5C"/>
    <w:rsid w:val="009A1AF2"/>
    <w:rsid w:val="009A2BE9"/>
    <w:rsid w:val="009A5E3B"/>
    <w:rsid w:val="009A78F9"/>
    <w:rsid w:val="009B4214"/>
    <w:rsid w:val="009C5AF9"/>
    <w:rsid w:val="009D29A3"/>
    <w:rsid w:val="009D6616"/>
    <w:rsid w:val="009D66F6"/>
    <w:rsid w:val="009D6D2B"/>
    <w:rsid w:val="009E5797"/>
    <w:rsid w:val="009E68EC"/>
    <w:rsid w:val="009F4314"/>
    <w:rsid w:val="00A008E9"/>
    <w:rsid w:val="00A02BA8"/>
    <w:rsid w:val="00A063F6"/>
    <w:rsid w:val="00A108A1"/>
    <w:rsid w:val="00A20CAC"/>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0FD7"/>
    <w:rsid w:val="00AB7A25"/>
    <w:rsid w:val="00AB7B02"/>
    <w:rsid w:val="00AC6C1E"/>
    <w:rsid w:val="00AD18D2"/>
    <w:rsid w:val="00AE7381"/>
    <w:rsid w:val="00AE7443"/>
    <w:rsid w:val="00AF457B"/>
    <w:rsid w:val="00AF6AE2"/>
    <w:rsid w:val="00B04DA0"/>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05E26"/>
    <w:rsid w:val="00C10B36"/>
    <w:rsid w:val="00C1148B"/>
    <w:rsid w:val="00C15E13"/>
    <w:rsid w:val="00C21444"/>
    <w:rsid w:val="00C25BD1"/>
    <w:rsid w:val="00C25E37"/>
    <w:rsid w:val="00C26572"/>
    <w:rsid w:val="00C32E02"/>
    <w:rsid w:val="00C37CB5"/>
    <w:rsid w:val="00C37CC3"/>
    <w:rsid w:val="00C52C2B"/>
    <w:rsid w:val="00C63F56"/>
    <w:rsid w:val="00C717EB"/>
    <w:rsid w:val="00C7528F"/>
    <w:rsid w:val="00C861C6"/>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1230"/>
    <w:rsid w:val="00D362F7"/>
    <w:rsid w:val="00D37899"/>
    <w:rsid w:val="00D401A5"/>
    <w:rsid w:val="00D41868"/>
    <w:rsid w:val="00D459E6"/>
    <w:rsid w:val="00D51C4C"/>
    <w:rsid w:val="00D612A5"/>
    <w:rsid w:val="00D675F5"/>
    <w:rsid w:val="00D7125E"/>
    <w:rsid w:val="00D77BC3"/>
    <w:rsid w:val="00D80EF8"/>
    <w:rsid w:val="00D841F2"/>
    <w:rsid w:val="00D84D15"/>
    <w:rsid w:val="00D853DC"/>
    <w:rsid w:val="00D935B9"/>
    <w:rsid w:val="00DB7127"/>
    <w:rsid w:val="00DC22A5"/>
    <w:rsid w:val="00DC2803"/>
    <w:rsid w:val="00DC6B74"/>
    <w:rsid w:val="00DD2465"/>
    <w:rsid w:val="00DD3041"/>
    <w:rsid w:val="00DD3B16"/>
    <w:rsid w:val="00DD4074"/>
    <w:rsid w:val="00DD55D6"/>
    <w:rsid w:val="00DD7FC8"/>
    <w:rsid w:val="00DE6F40"/>
    <w:rsid w:val="00E018D7"/>
    <w:rsid w:val="00E03427"/>
    <w:rsid w:val="00E25809"/>
    <w:rsid w:val="00E26DC1"/>
    <w:rsid w:val="00E31CB3"/>
    <w:rsid w:val="00E3292D"/>
    <w:rsid w:val="00E36754"/>
    <w:rsid w:val="00E44433"/>
    <w:rsid w:val="00E447A2"/>
    <w:rsid w:val="00E44EE8"/>
    <w:rsid w:val="00E51552"/>
    <w:rsid w:val="00E52EDC"/>
    <w:rsid w:val="00E55045"/>
    <w:rsid w:val="00E55385"/>
    <w:rsid w:val="00E671AD"/>
    <w:rsid w:val="00E708FF"/>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00F5"/>
    <w:rsid w:val="00F63D9E"/>
    <w:rsid w:val="00F70126"/>
    <w:rsid w:val="00F72C6F"/>
    <w:rsid w:val="00F76B7C"/>
    <w:rsid w:val="00F82B9F"/>
    <w:rsid w:val="00F83B86"/>
    <w:rsid w:val="00F8638C"/>
    <w:rsid w:val="00F8768F"/>
    <w:rsid w:val="00FA03AB"/>
    <w:rsid w:val="00FA0DEA"/>
    <w:rsid w:val="00FB0784"/>
    <w:rsid w:val="00FB4A23"/>
    <w:rsid w:val="00FB7B3C"/>
    <w:rsid w:val="00FC0F1B"/>
    <w:rsid w:val="00FC3C75"/>
    <w:rsid w:val="00FD240A"/>
    <w:rsid w:val="00FD4766"/>
    <w:rsid w:val="00FE4900"/>
    <w:rsid w:val="00FF025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 w:type="paragraph" w:styleId="ListParagraph">
    <w:name w:val="List Paragraph"/>
    <w:basedOn w:val="Normal"/>
    <w:uiPriority w:val="34"/>
    <w:qFormat/>
    <w:rsid w:val="009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53092634">
      <w:bodyDiv w:val="1"/>
      <w:marLeft w:val="0"/>
      <w:marRight w:val="0"/>
      <w:marTop w:val="0"/>
      <w:marBottom w:val="0"/>
      <w:divBdr>
        <w:top w:val="none" w:sz="0" w:space="0" w:color="auto"/>
        <w:left w:val="none" w:sz="0" w:space="0" w:color="auto"/>
        <w:bottom w:val="none" w:sz="0" w:space="0" w:color="auto"/>
        <w:right w:val="none" w:sz="0" w:space="0" w:color="auto"/>
      </w:divBdr>
      <w:divsChild>
        <w:div w:id="1497114351">
          <w:marLeft w:val="0"/>
          <w:marRight w:val="0"/>
          <w:marTop w:val="0"/>
          <w:marBottom w:val="0"/>
          <w:divBdr>
            <w:top w:val="none" w:sz="0" w:space="0" w:color="auto"/>
            <w:left w:val="none" w:sz="0" w:space="0" w:color="auto"/>
            <w:bottom w:val="none" w:sz="0" w:space="0" w:color="auto"/>
            <w:right w:val="none" w:sz="0" w:space="0" w:color="auto"/>
          </w:divBdr>
        </w:div>
      </w:divsChild>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108113970">
      <w:bodyDiv w:val="1"/>
      <w:marLeft w:val="0"/>
      <w:marRight w:val="0"/>
      <w:marTop w:val="0"/>
      <w:marBottom w:val="0"/>
      <w:divBdr>
        <w:top w:val="none" w:sz="0" w:space="0" w:color="auto"/>
        <w:left w:val="none" w:sz="0" w:space="0" w:color="auto"/>
        <w:bottom w:val="none" w:sz="0" w:space="0" w:color="auto"/>
        <w:right w:val="none" w:sz="0" w:space="0" w:color="auto"/>
      </w:divBdr>
      <w:divsChild>
        <w:div w:id="948583867">
          <w:marLeft w:val="0"/>
          <w:marRight w:val="0"/>
          <w:marTop w:val="0"/>
          <w:marBottom w:val="0"/>
          <w:divBdr>
            <w:top w:val="none" w:sz="0" w:space="0" w:color="auto"/>
            <w:left w:val="none" w:sz="0" w:space="0" w:color="auto"/>
            <w:bottom w:val="none" w:sz="0" w:space="0" w:color="auto"/>
            <w:right w:val="none" w:sz="0" w:space="0" w:color="auto"/>
          </w:divBdr>
        </w:div>
      </w:divsChild>
    </w:div>
    <w:div w:id="1313873131">
      <w:bodyDiv w:val="1"/>
      <w:marLeft w:val="0"/>
      <w:marRight w:val="0"/>
      <w:marTop w:val="0"/>
      <w:marBottom w:val="0"/>
      <w:divBdr>
        <w:top w:val="none" w:sz="0" w:space="0" w:color="auto"/>
        <w:left w:val="none" w:sz="0" w:space="0" w:color="auto"/>
        <w:bottom w:val="none" w:sz="0" w:space="0" w:color="auto"/>
        <w:right w:val="none" w:sz="0" w:space="0" w:color="auto"/>
      </w:divBdr>
      <w:divsChild>
        <w:div w:id="109669729">
          <w:marLeft w:val="0"/>
          <w:marRight w:val="0"/>
          <w:marTop w:val="0"/>
          <w:marBottom w:val="0"/>
          <w:divBdr>
            <w:top w:val="none" w:sz="0" w:space="0" w:color="auto"/>
            <w:left w:val="none" w:sz="0" w:space="0" w:color="auto"/>
            <w:bottom w:val="none" w:sz="0" w:space="0" w:color="auto"/>
            <w:right w:val="none" w:sz="0" w:space="0" w:color="auto"/>
          </w:divBdr>
        </w:div>
      </w:divsChild>
    </w:div>
    <w:div w:id="1488745628">
      <w:bodyDiv w:val="1"/>
      <w:marLeft w:val="0"/>
      <w:marRight w:val="0"/>
      <w:marTop w:val="0"/>
      <w:marBottom w:val="0"/>
      <w:divBdr>
        <w:top w:val="none" w:sz="0" w:space="0" w:color="auto"/>
        <w:left w:val="none" w:sz="0" w:space="0" w:color="auto"/>
        <w:bottom w:val="none" w:sz="0" w:space="0" w:color="auto"/>
        <w:right w:val="none" w:sz="0" w:space="0" w:color="auto"/>
      </w:divBdr>
      <w:divsChild>
        <w:div w:id="902563572">
          <w:marLeft w:val="0"/>
          <w:marRight w:val="0"/>
          <w:marTop w:val="0"/>
          <w:marBottom w:val="0"/>
          <w:divBdr>
            <w:top w:val="none" w:sz="0" w:space="0" w:color="auto"/>
            <w:left w:val="none" w:sz="0" w:space="0" w:color="auto"/>
            <w:bottom w:val="none" w:sz="0" w:space="0" w:color="auto"/>
            <w:right w:val="none" w:sz="0" w:space="0" w:color="auto"/>
          </w:divBdr>
        </w:div>
      </w:divsChild>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 w:id="1627810125">
      <w:bodyDiv w:val="1"/>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 w:id="2061779737">
      <w:bodyDiv w:val="1"/>
      <w:marLeft w:val="0"/>
      <w:marRight w:val="0"/>
      <w:marTop w:val="0"/>
      <w:marBottom w:val="0"/>
      <w:divBdr>
        <w:top w:val="none" w:sz="0" w:space="0" w:color="auto"/>
        <w:left w:val="none" w:sz="0" w:space="0" w:color="auto"/>
        <w:bottom w:val="none" w:sz="0" w:space="0" w:color="auto"/>
        <w:right w:val="none" w:sz="0" w:space="0" w:color="auto"/>
      </w:divBdr>
      <w:divsChild>
        <w:div w:id="9063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124</cp:revision>
  <cp:lastPrinted>2008-05-31T10:14:00Z</cp:lastPrinted>
  <dcterms:created xsi:type="dcterms:W3CDTF">2022-10-17T08:46:00Z</dcterms:created>
  <dcterms:modified xsi:type="dcterms:W3CDTF">2023-01-17T14:27:00Z</dcterms:modified>
</cp:coreProperties>
</file>