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ИКОНОМИКА И УПРАВЛЕНИЕ НА ТУРИЗМА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(ИТУР)</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ФПТБ-КИУТ-Б-901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10</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ФПТБ-КИУТ-Б-901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250</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0</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250</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Раздел І: Основи на туризма, Туристически ресурси, Икономика на туризма</w:t>
            </w:r>
          </w:p>
        </w:tc>
        <w:tc>
          <w:tcPr/>
          <w:p>
            <w:pPr>
              <w:jc w:val="center"/>
            </w:pPr>
            <w:r>
              <w:rPr>
                <w:rFonts w:ascii="Times New Roman" w:hAnsi="Times New Roman" w:eastAsia="Times New Roman" w:cs="Times New Roman"/>
                <w:sz w:val="24"/>
                <w:szCs w:val="24"/>
              </w:rPr>
              <w:t xml:space="preserve">25%</w:t>
            </w:r>
          </w:p>
        </w:tc>
      </w:tr>
      <w:tr>
        <w:trPr/>
        <w:tc>
          <w:tcPr/>
          <w:p>
            <w:pPr/>
            <w:r>
              <w:rPr>
                <w:rFonts w:ascii="Times New Roman" w:hAnsi="Times New Roman" w:eastAsia="Times New Roman" w:cs="Times New Roman"/>
                <w:sz w:val="24"/>
                <w:szCs w:val="24"/>
              </w:rPr>
              <w:t xml:space="preserve">Раздел ІІ: Хотелиерски бизнес, Ресторантьорство и кетъринг,Туроператорска, агентска и транспортна дейност в туризма</w:t>
            </w:r>
          </w:p>
        </w:tc>
        <w:tc>
          <w:tcPr/>
          <w:p>
            <w:pPr>
              <w:jc w:val="center"/>
            </w:pPr>
            <w:r>
              <w:rPr>
                <w:rFonts w:ascii="Times New Roman" w:hAnsi="Times New Roman" w:eastAsia="Times New Roman" w:cs="Times New Roman"/>
                <w:sz w:val="24"/>
                <w:szCs w:val="24"/>
              </w:rPr>
              <w:t xml:space="preserve">25%</w:t>
            </w:r>
          </w:p>
        </w:tc>
      </w:tr>
      <w:tr>
        <w:trPr/>
        <w:tc>
          <w:tcPr/>
          <w:p>
            <w:pPr/>
            <w:r>
              <w:rPr>
                <w:rFonts w:ascii="Times New Roman" w:hAnsi="Times New Roman" w:eastAsia="Times New Roman" w:cs="Times New Roman"/>
                <w:sz w:val="24"/>
                <w:szCs w:val="24"/>
              </w:rPr>
              <w:t xml:space="preserve">Раздел ІІІ: Управление на взаимоотношенията с туристите, Международен туризъм</w:t>
            </w:r>
          </w:p>
        </w:tc>
        <w:tc>
          <w:tcPr/>
          <w:p>
            <w:pPr>
              <w:jc w:val="center"/>
            </w:pPr>
            <w:r>
              <w:rPr>
                <w:rFonts w:ascii="Times New Roman" w:hAnsi="Times New Roman" w:eastAsia="Times New Roman" w:cs="Times New Roman"/>
                <w:sz w:val="24"/>
                <w:szCs w:val="24"/>
              </w:rPr>
              <w:t xml:space="preserve">25%</w:t>
            </w:r>
          </w:p>
        </w:tc>
      </w:tr>
      <w:tr>
        <w:trPr/>
        <w:tc>
          <w:tcPr/>
          <w:p>
            <w:pPr/>
            <w:r>
              <w:rPr>
                <w:rFonts w:ascii="Times New Roman" w:hAnsi="Times New Roman" w:eastAsia="Times New Roman" w:cs="Times New Roman"/>
                <w:sz w:val="24"/>
                <w:szCs w:val="24"/>
              </w:rPr>
              <w:t xml:space="preserve">Раздел ІV: Екскурзоводство, Иновации и конкурентоспособност на туризма</w:t>
            </w:r>
          </w:p>
        </w:tc>
        <w:tc>
          <w:tcPr/>
          <w:p>
            <w:pPr>
              <w:jc w:val="center"/>
            </w:pPr>
            <w:r>
              <w:rPr>
                <w:rFonts w:ascii="Times New Roman" w:hAnsi="Times New Roman" w:eastAsia="Times New Roman" w:cs="Times New Roman"/>
                <w:sz w:val="24"/>
                <w:szCs w:val="24"/>
              </w:rPr>
              <w:t xml:space="preserve">25%</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Да бъдат оценени комплексно придобитите през периода на бакалавърско обучение знания.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Съгласно правилника за организацията на учебния процес в СА „Д. А. Ценов“ обучението на студентите за ОКС „бакалавър” в Академията приключва с писмен държавен изпит по специалността. До държавен изпит се допускат студентите, които са завършили семестриално своето обучение. За семестриално завършили се считат студентите, които са приключили успешно последния курс на обучение (положили са всички семестриални изпити) и са получили оценка за преддипломната си практика в срокове и продължителност, определени с учебния план.</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в СА „Д. А. Ценов“ е писмен, с продължителност три астрономически часа. Държавният изпит се провежда от комисия, назначена със заповед на ректора. В състава на изпитната комисия влизат не по-малко от трима преподаватели от катедрата, водеща специалността.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Бакалавърът по специалност „Икономика на туризма“ следва да притежава теоретични и фактологични знания в областта, включително свързани с най-новите постижения в нея, самостоятелно да интерпретира придобитите знания, критично да възприема, разбира и излага теории и принципи.</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Основи на туризма</w:t>
            </w:r>
          </w:p>
        </w:tc>
      </w:tr>
      <w:tr>
        <w:trPr/>
        <w:tc>
          <w:tcPr/>
          <w:p>
            <w:pPr/>
            <w:r>
              <w:rPr>
                <w:rFonts w:ascii="Times New Roman" w:hAnsi="Times New Roman" w:eastAsia="Times New Roman" w:cs="Times New Roman"/>
                <w:sz w:val="26"/>
                <w:szCs w:val="26"/>
              </w:rPr>
              <w:t xml:space="preserve">1. Същност, значение и фактори за развитието на туризма  
</w:t>
              <w:br/>
              <w:t xml:space="preserve">2. Основни видове туризъм  
</w:t>
              <w:br/>
              <w:t xml:space="preserve">3. Туристически потребности, мотивация и поведение   
</w:t>
              <w:br/>
              <w:t xml:space="preserve">4.Туристически продукт  
</w:t>
              <w:br/>
              <w:t xml:space="preserve">5. Туристическа дестинация  
</w:t>
              <w:br/>
              <w:t xml:space="preserve">6. Основни туристически предприятия</w:t>
            </w:r>
          </w:p>
        </w:tc>
      </w:tr>
      <w:tr>
        <w:trPr/>
        <w:tc>
          <w:tcPr/>
          <w:p>
            <w:pPr/>
            <w:r>
              <w:rPr>
                <w:rFonts w:ascii="Times New Roman" w:hAnsi="Times New Roman" w:eastAsia="Times New Roman" w:cs="Times New Roman"/>
                <w:sz w:val="26"/>
                <w:szCs w:val="26"/>
                <w:b w:val="1"/>
                <w:bCs w:val="1"/>
              </w:rPr>
              <w:t xml:space="preserve">Туристически ресурси</w:t>
            </w:r>
          </w:p>
        </w:tc>
      </w:tr>
      <w:tr>
        <w:trPr/>
        <w:tc>
          <w:tcPr/>
          <w:p>
            <w:pPr/>
            <w:r>
              <w:rPr>
                <w:rFonts w:ascii="Times New Roman" w:hAnsi="Times New Roman" w:eastAsia="Times New Roman" w:cs="Times New Roman"/>
                <w:sz w:val="26"/>
                <w:szCs w:val="26"/>
              </w:rPr>
              <w:t xml:space="preserve">1.	Същност на понятието туристически ресурси, типология и класификация на туристическите ресурси
</w:t>
              <w:br/>
              <w:t xml:space="preserve">2.	Природни и антропогенни туристически ресурси
</w:t>
              <w:br/>
              <w:t xml:space="preserve">3.	Капацитет на туристическите ресурси, опазване и защита, сезонност в експлоатацията</w:t>
            </w:r>
          </w:p>
        </w:tc>
      </w:tr>
      <w:tr>
        <w:trPr/>
        <w:tc>
          <w:tcPr/>
          <w:p>
            <w:pPr/>
            <w:r>
              <w:rPr>
                <w:rFonts w:ascii="Times New Roman" w:hAnsi="Times New Roman" w:eastAsia="Times New Roman" w:cs="Times New Roman"/>
                <w:sz w:val="26"/>
                <w:szCs w:val="26"/>
                <w:b w:val="1"/>
                <w:bCs w:val="1"/>
              </w:rPr>
              <w:t xml:space="preserve">Икономика на туризма</w:t>
            </w:r>
          </w:p>
        </w:tc>
      </w:tr>
      <w:tr>
        <w:trPr/>
        <w:tc>
          <w:tcPr/>
          <w:p>
            <w:pPr/>
            <w:r>
              <w:rPr>
                <w:rFonts w:ascii="Times New Roman" w:hAnsi="Times New Roman" w:eastAsia="Times New Roman" w:cs="Times New Roman"/>
                <w:sz w:val="26"/>
                <w:szCs w:val="26"/>
              </w:rPr>
              <w:t xml:space="preserve">1. Капитал в туризма
</w:t>
              <w:br/>
              <w:t xml:space="preserve">2. Дълготрайни и краткотрайни активи в туризма
</w:t>
              <w:br/>
              <w:t xml:space="preserve">3. Труд и заплащане на труда в туризма
</w:t>
              <w:br/>
              <w:t xml:space="preserve">4. Приходи и разходи на туристическото предприятие
</w:t>
              <w:br/>
              <w:t xml:space="preserve">5. Цени и ценообразуване в туризма
</w:t>
              <w:br/>
              <w:t xml:space="preserve">6. Финансов резултат на туристическото предприятие</w:t>
            </w:r>
          </w:p>
        </w:tc>
      </w:tr>
      <w:tr>
        <w:trPr/>
        <w:tc>
          <w:tcPr/>
          <w:p>
            <w:pPr/>
            <w:r>
              <w:rPr>
                <w:rFonts w:ascii="Times New Roman" w:hAnsi="Times New Roman" w:eastAsia="Times New Roman" w:cs="Times New Roman"/>
                <w:sz w:val="26"/>
                <w:szCs w:val="26"/>
                <w:b w:val="1"/>
                <w:bCs w:val="1"/>
              </w:rPr>
              <w:t xml:space="preserve">Хотелиерски бизнес</w:t>
            </w:r>
          </w:p>
        </w:tc>
      </w:tr>
      <w:tr>
        <w:trPr/>
        <w:tc>
          <w:tcPr/>
          <w:p>
            <w:pPr/>
            <w:r>
              <w:rPr>
                <w:rFonts w:ascii="Times New Roman" w:hAnsi="Times New Roman" w:eastAsia="Times New Roman" w:cs="Times New Roman"/>
                <w:sz w:val="26"/>
                <w:szCs w:val="26"/>
              </w:rPr>
              <w:t xml:space="preserve">1. Хотелиерството – основна стопанска дейност в туризма 
</w:t>
              <w:br/>
              <w:t xml:space="preserve">2. Основни типове и категории места за настаняване 
</w:t>
              <w:br/>
              <w:t xml:space="preserve">3. Хотелиерски вериги – основа за глобализация и по-ефективна стопанска дейност 
</w:t>
              <w:br/>
              <w:t xml:space="preserve">4. Хотелиерски услуги. Системата „Ол инклузив“ в хотелиерството.  
</w:t>
              <w:br/>
              <w:t xml:space="preserve">5. Технологичен цикъл по обслужване на гостите в хотела (guest cycle) 
</w:t>
              <w:br/>
              <w:t xml:space="preserve">6. Персоналът на хотелиерското предприятие</w:t>
            </w:r>
          </w:p>
        </w:tc>
      </w:tr>
      <w:tr>
        <w:trPr/>
        <w:tc>
          <w:tcPr/>
          <w:p>
            <w:pPr/>
            <w:r>
              <w:rPr>
                <w:rFonts w:ascii="Times New Roman" w:hAnsi="Times New Roman" w:eastAsia="Times New Roman" w:cs="Times New Roman"/>
                <w:sz w:val="26"/>
                <w:szCs w:val="26"/>
                <w:b w:val="1"/>
                <w:bCs w:val="1"/>
              </w:rPr>
              <w:t xml:space="preserve">Ресторантьорство и кетъринг</w:t>
            </w:r>
          </w:p>
        </w:tc>
      </w:tr>
      <w:tr>
        <w:trPr/>
        <w:tc>
          <w:tcPr/>
          <w:p>
            <w:pPr/>
            <w:r>
              <w:rPr>
                <w:rFonts w:ascii="Times New Roman" w:hAnsi="Times New Roman" w:eastAsia="Times New Roman" w:cs="Times New Roman"/>
                <w:sz w:val="26"/>
                <w:szCs w:val="26"/>
              </w:rPr>
              <w:t xml:space="preserve">1. Същност и ососбености на ресторантьорството 
</w:t>
              <w:br/>
              <w:t xml:space="preserve">2. Ресторантьорски продукт 
</w:t>
              <w:br/>
              <w:t xml:space="preserve">3. Категоризация и класификация на заведенията за хранене и развлечения 
</w:t>
              <w:br/>
              <w:t xml:space="preserve">4. Меню инженеринг и ценообразуване в туризма 
</w:t>
              <w:br/>
              <w:t xml:space="preserve">5. Организация на обслужването в заведенията за хранене и развлечения 
</w:t>
              <w:br/>
              <w:t xml:space="preserve">6. Организация и технология на кетъринг обслужването 
</w:t>
              <w:br/>
              <w:t xml:space="preserve">7. Организация и технология при обслужване на специални събития</w:t>
            </w:r>
          </w:p>
        </w:tc>
      </w:tr>
      <w:tr>
        <w:trPr/>
        <w:tc>
          <w:tcPr/>
          <w:p>
            <w:pPr/>
            <w:r>
              <w:rPr>
                <w:rFonts w:ascii="Times New Roman" w:hAnsi="Times New Roman" w:eastAsia="Times New Roman" w:cs="Times New Roman"/>
                <w:sz w:val="26"/>
                <w:szCs w:val="26"/>
                <w:b w:val="1"/>
                <w:bCs w:val="1"/>
              </w:rPr>
              <w:t xml:space="preserve">Туроператорска, агентска и транспортна дейност в туризма</w:t>
            </w:r>
          </w:p>
        </w:tc>
      </w:tr>
      <w:tr>
        <w:trPr/>
        <w:tc>
          <w:tcPr/>
          <w:p>
            <w:pPr/>
            <w:r>
              <w:rPr>
                <w:rFonts w:ascii="Times New Roman" w:hAnsi="Times New Roman" w:eastAsia="Times New Roman" w:cs="Times New Roman"/>
                <w:sz w:val="26"/>
                <w:szCs w:val="26"/>
              </w:rPr>
              <w:t xml:space="preserve">1. Генезис и еволюция на туристическите агенции 
</w:t>
              <w:br/>
              <w:t xml:space="preserve">2. Туристически агенции 
</w:t>
              <w:br/>
              <w:t xml:space="preserve">3. Туроператорска дейност 
</w:t>
              <w:br/>
              <w:t xml:space="preserve">4. Туристическа агентска дейност 
</w:t>
              <w:br/>
              <w:t xml:space="preserve">5. Транспортна дейност в туризма</w:t>
            </w:r>
          </w:p>
        </w:tc>
      </w:tr>
      <w:tr>
        <w:trPr/>
        <w:tc>
          <w:tcPr/>
          <w:p>
            <w:pPr/>
            <w:r>
              <w:rPr>
                <w:rFonts w:ascii="Times New Roman" w:hAnsi="Times New Roman" w:eastAsia="Times New Roman" w:cs="Times New Roman"/>
                <w:sz w:val="26"/>
                <w:szCs w:val="26"/>
                <w:b w:val="1"/>
                <w:bCs w:val="1"/>
              </w:rPr>
              <w:t xml:space="preserve">Екскурзоводство</w:t>
            </w:r>
          </w:p>
        </w:tc>
      </w:tr>
      <w:tr>
        <w:trPr/>
        <w:tc>
          <w:tcPr/>
          <w:p>
            <w:pPr/>
            <w:r>
              <w:rPr>
                <w:rFonts w:ascii="Times New Roman" w:hAnsi="Times New Roman" w:eastAsia="Times New Roman" w:cs="Times New Roman"/>
                <w:sz w:val="26"/>
                <w:szCs w:val="26"/>
              </w:rPr>
              <w:t xml:space="preserve">1. Възникване, развитие, същност и класифициране на екскурзоводството 
</w:t>
              <w:br/>
              <w:t xml:space="preserve">2. Екскурзоводска работа при подготовка на туристическо пътуване и екскурзоводско обслужване при провеждане на туристическо пътуване 
</w:t>
              <w:br/>
              <w:t xml:space="preserve">3. Характеристика на основните екскурзоводски дейности</w:t>
            </w:r>
          </w:p>
        </w:tc>
      </w:tr>
      <w:tr>
        <w:trPr/>
        <w:tc>
          <w:tcPr/>
          <w:p>
            <w:pPr/>
            <w:r>
              <w:rPr>
                <w:rFonts w:ascii="Times New Roman" w:hAnsi="Times New Roman" w:eastAsia="Times New Roman" w:cs="Times New Roman"/>
                <w:sz w:val="26"/>
                <w:szCs w:val="26"/>
                <w:b w:val="1"/>
                <w:bCs w:val="1"/>
              </w:rPr>
              <w:t xml:space="preserve">Управление на взаимоотношенията с туристите</w:t>
            </w:r>
          </w:p>
        </w:tc>
      </w:tr>
      <w:tr>
        <w:trPr/>
        <w:tc>
          <w:tcPr/>
          <w:p>
            <w:pPr/>
            <w:r>
              <w:rPr>
                <w:rFonts w:ascii="Times New Roman" w:hAnsi="Times New Roman" w:eastAsia="Times New Roman" w:cs="Times New Roman"/>
                <w:sz w:val="26"/>
                <w:szCs w:val="26"/>
              </w:rPr>
              <w:t xml:space="preserve">1. Управление на взаимоотношенията с клиентите в туризма 
</w:t>
              <w:br/>
              <w:t xml:space="preserve">2. Същност и съдържание на туристическото обслужване 
</w:t>
              <w:br/>
              <w:t xml:space="preserve">3. Управление на взаимоотношенията с туристи в процеса на продажба и потребление на туристическите услуги 
</w:t>
              <w:br/>
              <w:t xml:space="preserve">4. Оформяне на продажбата на туристическите услуги на туристите 
</w:t>
              <w:br/>
              <w:t xml:space="preserve">5. Персоналът в туризма  и управление на взаимоотношенията с туристите 
</w:t>
              <w:br/>
              <w:t xml:space="preserve">6. Управление на взаимоотношенията с туристите на база качеството в туристическото обслужване 
</w:t>
              <w:br/>
              <w:t xml:space="preserve">7. Системи за управление на качеството</w:t>
            </w:r>
          </w:p>
        </w:tc>
      </w:tr>
      <w:tr>
        <w:trPr/>
        <w:tc>
          <w:tcPr/>
          <w:p>
            <w:pPr/>
            <w:r>
              <w:rPr>
                <w:rFonts w:ascii="Times New Roman" w:hAnsi="Times New Roman" w:eastAsia="Times New Roman" w:cs="Times New Roman"/>
                <w:sz w:val="26"/>
                <w:szCs w:val="26"/>
                <w:b w:val="1"/>
                <w:bCs w:val="1"/>
              </w:rPr>
              <w:t xml:space="preserve">Международен туризъм</w:t>
            </w:r>
          </w:p>
        </w:tc>
      </w:tr>
      <w:tr>
        <w:trPr/>
        <w:tc>
          <w:tcPr/>
          <w:p>
            <w:pPr/>
            <w:r>
              <w:rPr>
                <w:rFonts w:ascii="Times New Roman" w:hAnsi="Times New Roman" w:eastAsia="Times New Roman" w:cs="Times New Roman"/>
                <w:sz w:val="26"/>
                <w:szCs w:val="26"/>
              </w:rPr>
              <w:t xml:space="preserve">1. Туристически пазари – особености
</w:t>
              <w:br/>
              <w:t xml:space="preserve">2. Същност и особености на международния туризъм
</w:t>
              <w:br/>
              <w:t xml:space="preserve">3. Управленски подходи в международния туризъм
</w:t>
              <w:br/>
              <w:t xml:space="preserve">4. Международни правни източници в туризма
</w:t>
              <w:br/>
              <w:t xml:space="preserve">5. Международни отношения с европейските страни – Италия, Франция, Швейцария, Холандия, Шотландия, Дания
</w:t>
              <w:br/>
              <w:t xml:space="preserve">6. Международни отношения с извън европейските страни – Индия, ЮАР, Египет
</w:t>
              <w:br/>
              <w:t xml:space="preserve">7. Икономическо влияние на международния туризъм</w:t>
            </w:r>
          </w:p>
        </w:tc>
      </w:tr>
      <w:tr>
        <w:trPr/>
        <w:tc>
          <w:tcPr/>
          <w:p>
            <w:pPr/>
            <w:r>
              <w:rPr>
                <w:rFonts w:ascii="Times New Roman" w:hAnsi="Times New Roman" w:eastAsia="Times New Roman" w:cs="Times New Roman"/>
                <w:sz w:val="26"/>
                <w:szCs w:val="26"/>
                <w:b w:val="1"/>
                <w:bCs w:val="1"/>
              </w:rPr>
              <w:t xml:space="preserve">Иновации и екологизация на туризма</w:t>
            </w:r>
          </w:p>
        </w:tc>
      </w:tr>
      <w:tr>
        <w:trPr/>
        <w:tc>
          <w:tcPr/>
          <w:p>
            <w:pPr/>
            <w:r>
              <w:rPr>
                <w:rFonts w:ascii="Times New Roman" w:hAnsi="Times New Roman" w:eastAsia="Times New Roman" w:cs="Times New Roman"/>
                <w:sz w:val="26"/>
                <w:szCs w:val="26"/>
              </w:rPr>
              <w:t xml:space="preserve">1. Иновации и иновационен процес в туризма
</w:t>
              <w:br/>
              <w:t xml:space="preserve">2. Иновационна стратегия 
</w:t>
              <w:br/>
              <w:t xml:space="preserve">3. Продуктови иновации в различните туристически предприятия
</w:t>
              <w:br/>
              <w:t xml:space="preserve">4. Пазарна реализация на новите продукти
</w:t>
              <w:br/>
              <w:t xml:space="preserve">5. Подходи за управление и въздействие върху околната среда
</w:t>
              <w:br/>
              <w:t xml:space="preserve">6. Екополитика и туризъм
</w:t>
              <w:br/>
              <w:t xml:space="preserve">7. Кръговата икономика в туристическия сектор
</w:t>
              <w:br/>
              <w:t xml:space="preserve">8. Подходи и средства за екологизиране на туристическия бизнес</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Иванова, П, Илиева, Л. Въведение в туризма. АИ Ценов, Свищов, 2020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Личев, Т., Стоянова, М. Туристически ресурси. АИ Ценов, Свищов, 2018</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Божинова, М., Тодорова, Л., Икономика на туризма. АИ Ценов, Свищов, 2020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Божинова, М., Илиева, Л., Павлов, П. Хотелиерски и ресторантьорски бизнес. АИ Ценов, Свищов, 2021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Иванова, П. Туроператорска, агентска и транспортна дейност в туризма. Свищов, 2021.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Иванова, П. Екскурзоводство. Варна, 2023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Илиева, Л. Управление на взаимоотношенията с туристите. АИ Ценов. Свищов, 2021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Янева, М., Павлов, П. Международн туризъм. АИ Ценов, Свищов, 2021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Тодорова, Л. Иновации в туризма. АИ Ценов, Свищов, 2024</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Павлов, П. Екологизация в туристическия бизнес. АИ Ценов, 2024</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Рибов, М. и др. Туристически дестинации. Тракия-М, С., 2008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Лозанов, Е., Тишков, Х. и Д. Терзийска, Туристически ресурси, С. 2003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Иванова, П., В. Минков, Л. Илиева. Въведение в туризма. Свищов, 2013.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Божинова, М, Л. Илиева. Хотелиерство и ресторантьорство. АИ „Ценов”, Свищов, 2015</w:t>
            </w:r>
          </w:p>
        </w:tc>
      </w:tr>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дейностите по предоставяне на услуги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защита на потребителите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Търговски закон</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Наредба за изискванията към местата за настаняване и заведенията за хранене и развлечения и за реда за определяне на категория, отказ, понижаване, спиране на действието и прекратяване на категорията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Наредба за образованието, практическата подготовка и професионалната квалификация, необходими за придобиване на правоспособност за упражняване на професията „Планински водач“</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Наредба за образованието, практическата подготовка и професионалната квалификация, необходими за придобиване на правоспособност за упражняване на професията "Екскурзовод"</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Наредба за организацията на Единната система за туристическа информация (ЕСТИ)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Наредба за условията и реда за сключване на задължителна застраховка, покриваща отговорност на туроператора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Тарифата за таксите, които се събират по Закона за туризма</w:t>
            </w:r>
          </w:p>
        </w:tc>
      </w:tr>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http://www.tourism.government.bg/bg/pages/za-nas</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http://www2.unwto.org/en</w:t>
            </w:r>
          </w:p>
        </w:tc>
      </w:tr>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Любка Илиева)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Любка Илиева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