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01.07.2022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30.06.2022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Културно-историческо наследство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по въпроси от целия курс на обучение. 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„Културно историческо наследство“ е посветена на състоянието на историческото наследство в страната като туристически ресурс и възможност за развитие на уменията и компетенциите на студентите като специалисти в туристическия бизнес. Тя трябва да запознае студентите с основните параметри на отделните групи културно наследство по българските земи.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не само да се запознаят с историческото развитие и моментно състояние на културно-историческите паметници, а да могат да ги използват пълноценно при работата си в реалния стопански живот. Обучението е насочено към идентифициране на най-важните паметници на националната култура и мястото им в световната съкровищница.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 познания за културното, политическото и стопанско развитие на страната на ниво средно образование. Познания по управление на туристическия сектор.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Независими проекти, лекции, упражнения чрез разработването на колективни разработки, online лекции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Проекти, курсови работи, online лекции.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да развият умения за работа с научен текст и да го използват в практическата си работа в туристическия сектор. Да се обучат на умения за изготвяне на характеристика на различни типове културно-исторически паметници. Да се научат да адаптират и постоянно усъвършенстват достъпа си до електронни база данни, които са ресурс за информиране. Установява самобитност, приемственост и взаимни влияния между култури и цивилизации. Установява различни регионални и национални различия и прилики.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„Св. Климент Охридски“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ЮЗУ „Неофит Рилски“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 „Св. Св. Кирил и Методий“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Edinburgh Napier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Barcelona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КУЛТУРНО – ИСТОРИЧЕСКОТО НАСЛЕДСТВО КАТО ФЕНОМЕН НА НАЦИОНАЛНОТО, РЕГИОНАЛНОТО И  СВЕТОВНО РАЗНООБРАЗИЕ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Теоретични проблеми. Законодателна рамка на културно-историческото наследство.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ПРАИСТОРИЧЕСКИ ОБЕКТИ, ГРЪЦКА И РИМСКА КУЛТУРА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 праисторически обекти, които са социализирани като туристически ресурс – Варненски халколитен некропол, Провадийски солници, Карановската могила и тяхното музейно присъствие.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БЪЛГАРСКАТА СРЕДНОВЕКОВНА И ВЪЗРОЖДЕНСКА КУЛТУРА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Градски  центрове от първата и втора български държави. Плиска, Преслав, Силистра, Мадара, В. Търново, Дунавските крепости, Балканските крепости. София, Пловдив.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МУЗЕЙНИ И КУЛТУРНИ ЗАБЕЛЕЖИТЕЛНОСТИ В ЮЖНА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Пловдив, Хасково, Сливен, Бургас, Стара Загора, Пазарджик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ЕТНОГРАФСКИ КОМПЛЕКСИ, РЕЗЕРВАТИ И РЕЛИГИОЗНИ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Етъра. Златоград. Жеравна. Котел. Самоводска  чаршия.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МУЗЕЙНИ И КУЛТУРНИ ЗАБЕЛЕЖИТЕЛНОСТИ В СЕВЕРНА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Видин, В. Търново, Враца, Плевен, Ловеч, Търговище, Русе, Шумен, Силистра, Варна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МУЗЕЙНИ И КУЛТУРНИ ЗАБЕЛЕЖИТЕЛНОСТИ В СОФИЯ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Национален музей. Музей на София. Галерии. Църковни забележителности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Палангурски, М. Културно-историческо наследство, Свищов, АИ Ценов,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Овчаров, Н. Цар Иван Александър Асен. Миротворецът, В. Търново, Фабер,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Овчаров, Н., Перьов, К. Долината на скалните хора край Златоград - кн. 10,Славена,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Г. и кол. Религиозните културни паметници на Добруджа, Силистра,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Алексиева, С. Културният туризъм - мисията на Велико Търново, С.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Е. Културният туризъм, С.,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Енциклопедия България, т. 1-7.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Етнография на България, т. 1-2.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културното наследство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Конвенция на ЮНЕСКО за опазване на  нематериалното културно наследство, 2003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конвенция за защита на архитектурното наследство, 1985,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конвенция за опазване на археологическото наследство, 1992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Рамкова конвенция на Съвета на Европа за значимостта на културното наследство за обществото, 2005.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Тихомир Личев)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преп. Емилия Вачева)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