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„Иновационен мениджмънт“ е включена в учебния план на специалност „Бизнес иновации и мениджмънт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СТРАТЕГИЧЕСКИ АСПЕКТИ НА ИНОВАЦИИТЕ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ОРГАНИЗАЦИОННИ АСПЕКТИ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ФОРМИ НА СЪТРУДНИЧЕСТВО В ОБЛАСТТА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Варамезов, Любчо и др. (2017). Иновационен мениджмънт / Любчо Варамезов, Искра Пантелеева // АИ Ценов, 2017, 173 с., ISBN: 978-954-23-1592-6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 https://dl.uni-svishtov.bg/course/view.php?id=8273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Благоев, Д. (2013). Добри иновационни практики. София: ИК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Варамезов, Л. (2013). Иновационен мениджмънт. Свищов: АИ Ценов, БОН, 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Дракър, П. (2002). Иновации и предприемачество. София: Класика и стил.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Ненов, Т. (2010). Управление на иновациите.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Танева, Н. (2011). Иновационен мениджмънт. София: Кинг.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Bessant, J. (2015). Innovation and Entrepreneurship.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Burns, P. (2017). Corporate Entrepreneurship: Innovation and Strategy in Large Organizations. Palgrave MacMillan.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Conway, S., &amp; Steward, F. (2009). Managing and shaping innovation. New York: Oxford University Press Ins.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Dawson, P. (2017). Managing Change, Creativity and Innovation. SAGE Publications Ltd; Third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Drucker, P. (1986). Innovation and Entepreneurship: Practice and Principles. Harper &amp; Row Publ.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Hisrich, R. (2013). Managing Innovation and Entrepreneurship. SAGE Publications,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Johannessen, J., Stokvik, H. (2020). Prologue: Innovation Management: Innovation Managemen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Lowe, R. (Kerzner, H. (2019). Innovation Project Management: Methods, Case Studies, and Tools for Managing Innovation Project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Oslo Manual. Guidelines for Collecting and Interpreting Technological Innovation Data.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Ridley, M. (2020). How Innovation Works. Fourth Estate.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Ruud, F. (1993). An Integrated Model of Organizational Adoption and Diffusion of Innovations, European Journal of Marketing, 27,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Tidd, J. (2018). Managing Innovation: Integrating Technological, Market and Organizational Change.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Tidd, J., &amp; Bessant, J. (2009). Managing Innovation: Integrating Technological, Market and Organizational Change. John Wiley &amp; Sons.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