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Финанси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„Дисциплината „Финанси на бизнеса“ е включена в учебния план на специалност „Индустриален бизнес и предприемачество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фондове.“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„Финанси на бизнеса“ представлява съществена част от цялостното управление на организациите, насочено към тяхното ефективно финансиране. Дисциплината има комплексен характер, тъй като синтезира освен свои присъщи познания и умения, също и такива от други дисциплини (Корпоративни финанси, Икономика на предприятието, Основи на мениджмънта, Счетоводство и др.).Курсът предоставя възможност за придобиване на актуални и практически умения на студентите в професионалната им реализация, които са задължителни в ерата на Интернет и ИТ. Информационните системи за управление са сред най-важните елементи на управлението на предприятието.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“Финанси на бизнеса” е студентите да придобият знания по въпросите на финансирането от позициите на бизнес организацията, а не от позициите на финансовите институции, което е предмет на други дисциплини. От дисциплината се получават знания за това как чрез финансирането и използването на подходящи средства и инструменти се осъществява бизнеса и се реализира дохода и неговото разпределение на бизнес организацията.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програмата знанията по дисциплината са систематизирани в определен набор от теми, всяка от които се допълва с разработване на въпроси, решаване на примерни задачи и практически казуси по време на семинарните занятия. Хорариумът е в обем от 2 часа лекции и 2 часа упражнения.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Комбинират се различни методи на преподаване, съобразени с формата на обучение - лекции, упражнения, изнесено обучение в бизнес среда или администрация, дискусии, разработване на задачи, представяне на доклади, провеждане на проучвания, разработване и решаване на казуси и др. Използва се електронна платформата за колаборация.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ресурси за обучение са компютърна мултимедия, специализиран софтуер, интернет достъп, собствено компютърно оборудване за извън аудиторната заетост.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Този курс е разработен в съответствие с изискванията на Националната квалификационна рамка по отношение на придобитите знания, умения и компетенции за съответния EQD.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програма е насочена към формиране на изискваните  за  образователно-квалификационната степен знания (теоретични и фактологически), умения (познавателни и практически) и компетентности (самостоятелност и отговорност, ключови компетентности за учене през целия живот, езиково обучение, граждански и социални компетентности, цифрови компетентности, комуникативни компетентности, професионални компетентности), в съответствие с  Националната квалификационна рамка  и Европейската референтна рамка на Ключовите компетентности за учене през целия живот 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предоставя на студентите следните основни 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съвременната теория и практика на финансите, финансирането и финансовото управление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теориите и подходите за тяхното осъществяване;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източниците от които може да се набавят необходимите средства за финансиране;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формира у студентите следните основни 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прилагане на методи и инструменти за успешно финансиране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работа в екип при идентифициране на необходимостта от нови финансови средства;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 на различни подходи за финансиране дейността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основните очаквани резултати са свързани с изучаване на финансирането като сложна динамична система, в която се осъществява процес на непрекъснати промени.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Passau,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Saarlandes, Germany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Magdeburg,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ФИНАНСОВИ РЕСУРСИ И КАПИТАЛ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СТОЙНОСТ НА ПАРИТЕ ВЪВ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ВИДОВЕ, ПРИНЦИПИ И ПОДХОДИ НА ФИНАНСИРАНЕ НА БИЗНЕС ОРГАНИЗАЦИИТЕ. ПОТРЕБНОСТ ОТ КАПИТАЛ И МЕТОДИ ЗА ОПРЕДЕЛЯНЕ НА ПОТРЕБНОСТТА ОТ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САМОФИНАНСИРАНЕ И ДИВИДЕНТНА ПОЛИТИКА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ДЪЛГОСРОЧНО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КРАТКОСРОЧНО ФИНАНСИРАНЕ С ПРИВЛЕЧЕН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ВАРИАНТИ ЗА ИЗБОР МЕЖДУ ТЪРГОВСКИ И БАНКОВ КРЕДИТ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ОБОРОТНИТЕ СРЕДСТВЕ И УСКОРЯВАНЕ НА ОБРЪЩАЕМОСТТА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${temi#10}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ИЗТОЧНИЦИ НА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МЕТОДИКА ЗА ОПРЕДЕЛЯНЕ НА ЕФЕКТИВНОСТТА ОТ ЛИЗИНГОВИ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СЛИВАНИЯ И ИЗКУПУВАНЕ В БИЗНЕСА. МЕХАНИЗМИ НА ОСЪЩЕСТВЯВАНЕ. ОЦЕНКА НА ФИНАНСОВИЯ ЕФЕКТ ОТ РЕШЕНИЕТО ЗА СЛИВАНЕ ИЛИ ИЗКУПУВАНЕ. СДЕЛКИ ПРИ СЛИВАНЕ И ИЗКУПУВАНЕ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Ross,  Westerfield, Jordan, “Fundamentals of Corporate Finance”, 12th ed., McGraw-Hill Education,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Myers, „Principles of Corporate Finance”, 13th ed., McGraw-Hill Education,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Aндреева, Донка, Финансиране на бизнес организацията: Уч. помагало - София : Издателски комплекс-УНСС,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Г. Основи на финансите на фирмата, шесто преработено издание, С., “Тракия-М”,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Стоян Деевски)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