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риска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ФПТБ-КИБП-Б-324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ФПТБ-КИБП-Б-324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В процеса на преподаване на учебния материал, се проявява стремеж за запознаване на студентите с прогресивния теоретичен и практически опит на развитите страни в областта на управлението на риска. Научавайки това да могат да идентифицират и диагностицират зараждащите се условия за последваща проява на рискове.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Изучаването на учебния материал се основава на входните връзки с други учебни дисциплини: Икономика на предприятието, Организация на индустриалното предприятие, Логистика, Индустриален риск мениджмънт.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w:t>
      </w:r>
    </w:p>
    <w:p w14:paraId="3EFBF371" w14:textId="5BCB3AD9" w:rsidR="006D3B5D" w:rsidRDefault="006D3B5D" w:rsidP="00BA4B91">
      <w:pPr>
        <w:ind w:firstLine="709"/>
        <w:jc w:val="both"/>
        <w:rPr>
          <w:rFonts w:ascii="Times New Roman" w:hAnsi="Times New Roman"/>
        </w:rPr>
      </w:pPr>
      <w:r>
        <w:rPr>
          <w:rFonts w:ascii="Times New Roman" w:hAnsi="Times New Roman"/>
        </w:rPr>
        <w:t>рамките на учебния курс се използват лекции, дискусии, казуси,</w:t>
      </w:r>
    </w:p>
    <w:p w14:paraId="3EFBF371" w14:textId="5BCB3AD9" w:rsidR="006D3B5D" w:rsidRDefault="006D3B5D" w:rsidP="00BA4B91">
      <w:pPr>
        <w:ind w:firstLine="709"/>
        <w:jc w:val="both"/>
        <w:rPr>
          <w:rFonts w:ascii="Times New Roman" w:hAnsi="Times New Roman"/>
        </w:rPr>
      </w:pPr>
      <w:r>
        <w:rPr>
          <w:rFonts w:ascii="Times New Roman" w:hAnsi="Times New Roman"/>
        </w:rPr>
        <w:t>демонстрации, директни инструкции, ролеви игри, симулации, мозъчни атаки,</w:t>
      </w:r>
    </w:p>
    <w:p w14:paraId="3EFBF371" w14:textId="5BCB3AD9" w:rsidR="006D3B5D" w:rsidRDefault="006D3B5D" w:rsidP="00BA4B91">
      <w:pPr>
        <w:ind w:firstLine="709"/>
        <w:jc w:val="both"/>
        <w:rPr>
          <w:rFonts w:ascii="Times New Roman" w:hAnsi="Times New Roman"/>
        </w:rPr>
      </w:pPr>
      <w:r>
        <w:rPr>
          <w:rFonts w:ascii="Times New Roman" w:hAnsi="Times New Roman"/>
        </w:rPr>
        <w:t>разработване на индивидуални и групови проекти  и др. В съответствие с</w:t>
      </w:r>
    </w:p>
    <w:p w14:paraId="3EFBF371" w14:textId="5BCB3AD9" w:rsidR="006D3B5D" w:rsidRDefault="006D3B5D" w:rsidP="00BA4B91">
      <w:pPr>
        <w:ind w:firstLine="709"/>
        <w:jc w:val="both"/>
        <w:rPr>
          <w:rFonts w:ascii="Times New Roman" w:hAnsi="Times New Roman"/>
        </w:rPr>
      </w:pPr>
      <w:r>
        <w:rPr>
          <w:rFonts w:ascii="Times New Roman" w:hAnsi="Times New Roman"/>
        </w:rPr>
        <w:t>тенденциите за дигитализация широко приложение намират Интернет базираните информационни технологии (Distance Learning платформа, социални мрежи и сайтове за комуникиране и обучение), както и редица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теоретични знания и развиването на практически умения по основните въпроси, свързани с управлението на риска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усвояването на изучавания материал и приключването на обучението по дисциплината „Управление на риска“ от студентите се очаква да постигнат следните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задълбочени теоретични знания по въпросите на управлението на риска и по-конкретно: да използват базовите понятия и категории разгледани и изяснени в курса, да разбират многоаспектната същност на управлението на риска, както и неговата роля и значение, да познават процеса на управление на рисковете в бизнес организациите.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апробират и прилагат различните подходи, методи и техники в областта на управлението на риска;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вземат решения и да управляват процеса във връзка с идентифицирането, диагностицирането, оценяването на рисковете в бизнес организациите, както и прилагането на конкретни мерки за противодействие срещу тях.</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конкретни принципи и методи на управление на риска;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конструират модел на управление на риска;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апробират авангардни техники и методи за идентифициране на рисковите ситуации в бизнес организациите;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извършват най-обща практическа диагностика на рисковите ситуации в бизнес организациите;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реализират обективна оценка на рисковете, в зависимост от вида на риска, целите на оценката и особеностите и възможностите на бизнес организациите;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разработват обща сигурностна програма на бизнес организацията.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Учебната дисциплина "Управление на риска" се чете със същото или подобно наименование в следните български и чуждестранни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ВТУ"Св.Св. Кирил и Методий", Велико Търново,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Manchester,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Hamburg University,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Oxford University - Oxford, United Kingdom.</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СЪЩНОСТНИ АСПЕКТИ НА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понятия в рисковата теория. Дефиниране на риска. Класификация на риска по основни критерии. Видове риск според причината за възникване (според характера, сферата на възникване, мястото на възникване, етапа на решаване на проблема). Видове риск според динамиката (според изменчивостта, продължителността, възможността да бъдат предвидени). Видове риск според последиците (според възможният резултат, интереса към риска, измеримостта, размера на щетите и загубите).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ОСОБЕНОСТИ НА СИСТЕМАТА ЗА УПРАВЛЕНИЕ НА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Особености на системата за управление на риска. Функции на системата за управление на риска. Структурни елементи на системата за управление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ИНФОРМАЦИОННО ОСИГУРЯВАНЕ НА СИСТЕМАТА ЗА УПРАВЛЕНИЕ НА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Управленска информация за риска. Информационна система за риск. Оценка на информацията. Информация за рискови ситуации и преодоляването им.</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СИСТЕМИ ЗА РАННО ПРЕДУПРЕЖДЕНИЕ НА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Възникване и развитие на идеята за системи за ранно предупреждение. Контролно-предупредителни индикатори. Стратегическите системи за ранно предупреждение и тяхната роля при откриване признаците на криза във фирмата. Системи за ранно предупреждение за криза.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КОЛИЧЕСТВЕНА ОЦЕНКА НА РИСКА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направления на оценката на риска. Оценка и предвиждане на “чистите” физически рискове. Оценка на икономическите (предприемаческите, спекулативните) рискове.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ПОКРИВАНЕ НА ЩЕТИ ОТ РИСК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Причини за индустриалните рискове. Покриване на загубите от фирмени източници. Покриване на загубите от външни източници.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ЕКОЛОГИЧНИ РИСКОВЕ И ЕКОЛОГИЧНА БЕЗОПАСНОСТ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екологичната безопасност. Екологични рискове и екологична безопасност на стопанската дейност. Разпространени екологични рискове.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"Управление на риска" в Платформата за дистанционно и електронно обучение на СА “Д. А. Ценов“, https://dl.uni-svishtov.bg/course/view.php?id=5629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Габровски, Р., &amp; Иванова, З. (2017). Индустриален риск мениджмънт. Учебно пособие за дистанционно обучение.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Биолчева, П. (2021). Управление на бизнес риска. София: ИК-УНСС.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Брусева, М. (2010). Управление на риска. Варна: Варненски свободен унив. Черноризец Храбър.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Дилков, Ц. (2015). Управление на риска. София: Нова звезда.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Драганов, Х. (2010). Управление на риска. София: Тракия-М.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Иванова, З. (2016). Управление на контрагентния риск на индустриалното предприятие. // Икономическо благосъстояние чрез споделяне на знания: Международна научна конференция - Свищов, 09-10 ноем. 2016 г. АИ Ценов, 2016, с. 342-347.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Илиев, Б., &amp; Кръстев, Л. (2013). Управление на риска. В. Търново: Фабер.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Кънев, П., Пантелеева, И., Иванова, З. &amp; Мехмед, Н. (2014). Пазарното поведение на индустриалните бизнес организации и неговите рискови аспекти. // Алманах научни изследвания „Конкурентоспособност на българската икономика”. СА Д. А. Ценов – Свищов, Свищов: АИ Ценов, 21, 117-147.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Николов, Б. (2012). Управление на риска в производствените системи (Класически и алтернативни решения). ИК Кинг.</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Попчев, И. (2016). Шест теми по управление на риска. София: ИИКТ - БАН.</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Славов, З., &amp; Брусева, М. (2011). Анализ на риска при вземане на финансови решения. Варна: Варненски свободен унив. Черноризец Храбър.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Тихомиров, Н. П., &amp; Тихомирова, Т. М. (2010). Риск-анализ в экономике. Москва: Экономика.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Bustad, G., &amp; Bayer, E. (2012). Introducing Risk Management Process to a Manufacturing Industry.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Hopkin, P. (2012). Fundamentals of Risk Management (2nd ed.). Kogan Page.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Ivanova, Z. (2017). Management of the Counterparty Risk of an Industrial Enterprise. // Економiчний вiсник Донбасу, 4 (50), 158-164.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защита при бедствия. Обн. ДВ. бр.102 от 19 Декември 2006 г., ..., изм. и доп. ДВ. бр.97 от 5 Декември 2017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здравословни и безопасни условия на труд. Обн. ДВ. бр.124 от 23 Декември 1997 г., ..., изм. и доп. ДВ. бр.97 от 5 Декември 2017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малките и средните предприятия. Обн. ДВ. бр.84 от 24 Септември 1999 г., ..., изм. ДВ. бр.30 от 3 Април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финансовото управление и контрол в публичния сектор. Обн. ДВ. бр.21 от 10 Март 2006 г., ..., изм. ДВ. бр.95 от 29 Ноември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Търговски закон. Обн. ДВ. бр.48 от 18 Юни 1991 г., ..., доп. ДВ. бр.27 от 27 Март 2018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Българска стопанска камара (http://www.bia-bg.com).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Министерство на икономиката (https://www.mi.government.bg/).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Управление рисками, риск-менеджмент на предприятии (http://www.risk24.ru/).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Risk management. Harvard Business Review (https://hbr.org/topic/risk-management).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The Risk Management Association (http://www.rmahq.org/Default.aspx?gmssopc=1).</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Сергей Найденов)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Николов)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Зоя Иванова)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