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човешките ресурси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ФПТБ-КИБП-Б-320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ФПТБ-КИБП-Б-320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 цел на курса е да се придобият от студентите широкообхватни теоретични знания и практически умения относно привличането, използването, мотивирането, развитието и управлението на човешките ресурси в бизнес организациите. В рамките на предлаганата дисциплина се разглеждат въпроси, ориентирани както към класическите аспекти на управлението на човешките ресурси, така и към най-новите за теорията и практиката проблемни области и направления за развитие.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съвкупността от знания и умения в областта на управлението на човешките ресурси е свързано с предварителното придобиване на знания и умения, преподавани в рамките на учебните курсове по микроикономика и макроикономика, икономика на предприятието, право, статистика, финанси, маркетинг, управление и др. Те формират базовите общоикономически познания за редица предметно-функционални области от дейността на индустриалните бизнес организации и умения за боравене с  терминологичен апарат, прилагане на специфичен инструментариум и извършване на планово-организационни, статистически  и  финансово-изчислителни процедури, необходими за успешното планиране, привличане, използване и цялостно управление на човешките ресурси в бизнес организациите.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 рамките на учебния курс се използват лекции, дискусии, казуси, демонстрации, директни инструкции, ролеви игри, симулации, мозъчни атаки, разработване на индивидуални и групови проекти  и др. В съответствие с тенденциите за дигитализация широко приложение намират Интернет базираните информационни технологии (Distance Learning платформа, социални мрежи и сайтове за комуникиране и обучение), както и редица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преподаване на теоретичните знания и придобиване на съответните практически умения в областта на управлението на човешките ресурси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обучението по дисциплината се очаква студентите да постигнат следните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разширени и задълбочени теоретични и фактологични знания за управление на човешките ресурси, включително свързани с най-новите постижения в тази област;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придобитите знания в областта на управлението на човешките ресурси, като ги свързват с прилагането на факти и чрез критично възприемане, разбиране и изразяване на теориите, концепциите и принципите в рамките на конкретната проблематика.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владеят методи и средства в областта на управлението на човешките ресурси, позволяващи решаването на сложни задачи, свързани с планирането, организирането, използването, развитието и цялостното управление на човешките ресурси в рамките на бизнес организациите;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логическо мислене и проявяват новаторство и творчески подход при решаването на нестандартни задачи (казуси) в областта на управлението на човешките ресурси в бизнес организациите.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Самостоятелност и отговорност: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способност за административно управление на сложни професионални дейности в областта на управлението на човешките ресурси, включително на ресурсите, необходими за осъществяването на съответните процеси и дейности;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поемат отговорности при вземането на решения в сложни условия и взаимодействие на трудно предвидими фактори, които влияят върху планирането, организацията и управлението на процесите и дейностите по управление на човешките ресурси;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творчество и инициативност в процеса на планиране, организиране, реализиране и цялостно управление на процесите, дейностите и ресурсите относно управлението на човешките ресурси в бизнес организациите;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преценяват необходимостта от обучение на другите с цел подобряване на трудовите резултати, повишаване на фирмената конкурентоспособност и постигане на устойчив просперитет на база човешкия фактор и притежаваните от него професионални знания, умения и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Компетентности за учене: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последователно да оценяват собствената си квалификация чрез преценка на придобитите до момента знания и умения в областта на управлението на човешките ресурси и да планират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Комуникативни и социални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излагат ясно и разбираемо идеи, проблеми и решения пред специалисти и неспециалисти, свързани с планирането, организацията, използването, мотивирането, обучението, развитието и цялостното  управление на човешките ресурси;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изразяват отношение и разбиране по въпроси в областта на човешките ресурси чрез използване на методи, основани на качествени и количествени описания и оценки, свързани с планирането, организацията, използването, мотивирането, обучението, развитието и цялостното  управление на човешките ресурси в бизнес организацията;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личен мироглед и показват разбиране и солидарност с другите;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пълноценно да общуват на някои от най-разпространените европейски езици.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събират, класифицират, оценяват и интерпретират данни от областта на управлението на човешките ресурси, с цел решаването на конкретни индивидуални, екипни и фирмени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придобитите знания и умения в областта на управлението на човешките ресурси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способност да анализират в по-широк или интердисциплинарен контекст процеси, събития, връзки и взаимоотношения в областта на управлението на човешките ресурси;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нови стратегически подходи; да формират и изразяват собствено мнение по проблеми от обществен и етичен характер, възникващи в процеса на планиране, организиране, използване, мотивиране, обучение, развитие и цялостно управление на човешките ресурси в бизнес организацията.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 рамките на България и Европейския съюз учебната дисциплина се чете със същото или подобно наименование в следните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ВТУ "Св. Св. Кирил и Методий", Велико Търново,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University of Bedfordshire,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Groningen, Nederlands.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European University, Barcelona, Spain.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Malta, Malta.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Goeteborg, Sweden.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Business School of The Robert Gordon University, Scotland,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Clark University, Worcester,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University of Essex,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 ВЪВЕДЕНИЕ В УПРАВЛЕНИЕТО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постановки. Развитие на човешките ресурси и тяхното управление  – еволюционни параметри. Обект, предмет, елементи на системата, цели, функции и методи. Управление на човешките ресурси и управление на персонала. Видове управление на човешките ресурси. Подходи, концепции и модели за управление  на човешките ресурси. Традиционни подходи за управление на човешките ресурси. Основни концепции. Съвременни подходи/техники за управление на човешките ресурси. Модели за управление на човешките ресурси. Фактори, влияещи върху системата за управление на човешките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СИСТЕМА ЗА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особености и структура на системата за управление на човешките ресурси. Основни функции на органите на управление на човешките ресурси в бизнес организацията. Тенденции относно системите за управление на човешките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ПЕРСОНАЛ НА БИЗНЕС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състав и структура на персонала. Фактори, влияещи върху персонала. Показатели за оценка на персонала. Производителност на труда.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ПЛАНИРАНЕ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планирането на човешките ресурси. Етапи на планирането на човешките ресурси. Видове, обхват и предназначение на планове на човешките ресурси. Определяне на потребностите от човешки ресурси – същност, цели и основни аспекти; фактори, влияещи върху определянето на потребностите от човешки ресурси. Разчети по определяне на общите потребности от човешки ресурси. Варианти за осигуряване на допълнителните потребности от човешки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АНАЛИЗ И ПРОЕКТИРАНЕ НА ДЛЪЖНОСТИТЕ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длъжността и длъжностната характеристика – длъжност (дефиниция и основни елементи), длъжностна характеристика (същност, съдържание и структура) Анализ на длъжностите. Проектиране на длъжностите.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РЕКРУТИРАНЕ НА ПЕРСОНАЛА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Рекрутиране на персонала – същност и етапи. Източници на човешки ресурси в бизнес организацията. Адаптация на човешките ресурси – същност и видове адаптация; оценка на резултатите от адаптацията; управление адаптацията на заетите лица.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VIІ. ОБУЧЕНИЕ И РАЗВИТИЕ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Същностни аспекти на обучението и развитието. Политики за фирмено обучение и развитие на човешките ресурси. Проектиране и организиране на програми за обучение. Оценяване ефективността на обучението в бизнес организациите.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VIIІ. КАРИЕРА И КАРИЕРНО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основни цели на кариерата. Типове кариера и етапи на нейното развитие. Теории за кариерното развитие. Избор и планиране на кариера. Управление на собствената кариера.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ГЪВКАВИ СТРАТЕГИИ ПРИ ОРГАНИЗИРАНЕ НА ЗАЕТОСТТА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Гъвкавата заетост – същност. предпоставки и роля. Стратегии и форми за гъвкава организация на фирмената заетост.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ЕКИПИ И РАБОТА В ЕКИП</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особености на екипите. Видове екипи. Ролите в екипа. Развитие на екипите. Работа в екип. Ефективност на екипите.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 ОЦЕНКА НА ТРУДОВОТО ПРЕДСТАВЯНЕ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постановки. Етапи на процеса по оценяване. Техники на делово оценяване.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 ТРУДОВИ ВЪЗНАГРАЖДЕНИЯ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Трудовото възнаграждение – същност и видове. Фактори, влияещи върху трудовото възнаграждение. Форми и системи на заплащане на труда.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XIII. МОТИВИРАНЕ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Мотивация и мотивационен процес. Мотивационни модели. Мотивационни теории. Мотивационен профил на човешките ресурси. Повишаване и поддържане на мотивацията.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XIV. БЕЗОПАСНИ И ЗДРАВОСЛОВНИ УСЛОВИЯ НА ТРУД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Условия на труд и работоспособност на заетите. Основни фактори на условията на труда, влияещи върху работоспособността. Дейности по осигуряването на безопасни и здравословни условия на труд. Нормативна уредба.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XV. ТРУДОВИ ОТНОШЕНИЯ. ИНДУСТРИАЛНИ ТРУДОВИ ОТНОШЕНИЯ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Същностни аспекти на трудовите и индустриалните трудови отношения. Институции на трудово представителство – синдикати. Работодателите като субекти на индустриалните трудови отношения. Функции на държавата в схемата на индустриалните трудови отношения. Колективно трудово договаряне. Колективен трудов договор.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XVI. УПРАВЛЕНИЕ НА ТАЛАНТИТЕ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Талант и талантливи лица. Дефиниции, подходи и еволюционно развитие на управление¬то на талантите. Движещи сили, влияещи върху фирменото управление на талантите. Стратегиране и моделиране на управлението на талантите. Ключови елементи на управлението на талантите.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Office: Word, Excel, PowerPoint, Microinviest ТРЗ и ЛС Pro.</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Пантелеева, Искра и др.. Управление на човешките ресурси / Искра Пантелеева, Емил Николов, Явор Станев, Ивайло Костов // Свищов, Академично издателство - Ценов-, 2020, 368 с., ISBN: ISBN 978-954-23-1923-8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“Управление на човешките ресурси“ в Платформата за дистанционно и електронно обучение на СА “Д. А. Ценов“. https://dl.uni-svishtov.bg/course/view.php?id=5653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Варамезов, Л., Гуцев, Г., &amp; Николов, Е. (2011). Разработване на концептуален модел на управление на фирмените знания. // Алманах научни изследвания. СА Д. А. Ценов – Свищов, Свищов: АИ Ценов, 15, 5-52.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Варамезов, Л., Николов, Е., &amp; Гуцев, Г. (2012). Обучението на персонала – генератор на фирмени знания. // Алманах научни изследвания. СА Д. А. Ценов - Свищов, Свищов: АИ Ценов, 17, 448-477.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Иванова, М. (2018) Развитие и задържане на талантите в организацията. // Труд и право, XXVII, 2018, N 2, с. 46-53.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Илиев, Й., Масалджийска, С. (2017). Развитието на човешки капитал в бизнес-организациите и съвременното управление на човешките ресурси. // Икономическа мисъл, LXII, 2017, N 4, с. 33-45.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Кънев, П., Христова, В., Пантелеева, И., &amp; Иванова, З. (2012). Едно изследване на човешките ресурси в големите бизнес организации. // Алманах научни изследвания „Изследване на фирми, човешки потенциал, региони и висше образование”. СА Д. А. Ценов – Свищов, Свищов: АИ Ценов, 17, 394-417.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Кънев, П., Пантелеева, И., &amp; Иванова, З. (2013). Гъвкавата заетост в българските бизнес организации. // Алманах научни изследвания „Изследване на фирмения потенциал и системите за висше образование”. СА Д. А. Ценов – Свищов, Свищов: АИ Ценов, 20, 179-208.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Любенов, З. (2017). Управление на човешките ресурси в международната фирма. // Мениджмънтът - реалност и бъдеще : Сборник резюмета : Научна дискусия - Свищов, 13-14 окт. 2017 г.. - Свищов :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Младенов, Ю., &amp; Терзиев, В. (2011). Делегиране на пълномощия. Научни трудове на Русенския университет, 50 (5.1), 47-53.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Нaциoнaлнa клaсификaция нa прoфeсиитe и длъжнoститe. С., ИК Труд и право,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Овчарова, С. (2014). Управление на човешките ресурси: Тезиси, казуси, тестове. - Варна: ВСУ. Черноризец Храбър.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Одегов, Ю., &amp; Котова, Л. (2011). Подходы к управлению человеческими ресурсами и их влияние на оценку эффективности работы с персоналом. Кадровик. Кадровый менеджмент, 2, 82-90.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Пантелеева, И. (2013). Подходи и стратегии за управление на човешките ресурси в големите бизнес организации. // Годишник. Стопанска академия Д. А. Ценов – Свищов, Свищов: АИ Ценов, CXVI, 169-203.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Пантелеева, И., Варамезов, Л., Найденов, С., Николов, Е., Иванова, З., Гуцев, Г., Ангелов, И., Вакинова-Петрова, М., Костов, И., Килиджийска, Н., &amp; Маринов, М. (2017). Предприемачески нагласи на студентите за стартиране на собствен бизнес и/или за реализиране на предприемаческа идея. // Алманах научни изследвания. СА Д. А. Ценов – Свищов, Свищов: АИ Ценов, 24, II, 320-348.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Сп. „Човешки ресурси”.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Стефанова, Н. (2017). Стратегически техники при мотивиране на персонала . // Мениджмънтът - реалност и бъдеще : Сборник резюмета : Научна дискусия - Свищов, 13-14 окт. 2017 г.. - Свищов :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Харизанова, М., Миронова, Н. &amp; Кирчева, Т. (2011). Системата за управле-ние на човешките ресурси – структура, функции, перспективи. София: Научни трудове УНСС, 2, 8-44.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HR Magazine.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Innovation and Sustainable Manufacturing: Research and Development. (2022). Великобритания: Elsevier Science.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Innovation Management: Insights by Young Business Developers Volume 2. (2021). (n.p.): Deutsches Institut Für Ideen- Und Innovationsmanagement.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Journal of Human Resource 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Lee, S. H. (2023). Manufacturing Innovation and Policy Issues for Economic Outcomes. (n.p.): SSRN van den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Madasu, E., Rao, M. (2020). Sustainable Human Resource 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Oakland, et. al. (2020). Total Quality Management and Operational Excellence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Singh, D., Khamba, J. S., Nanda, T. (2022). Technology Innovation in Manufacturing. Великобритания: CRC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Technology and Innovation Management: A Practical Guide: Strategies, Tools, and Techniques for Value Creation and Growth. (2024). (n.p.): Notion Press.</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насърчаване на заетостта. Обн. ДВ. бр. 112 от 29 Декември 2001 г., ..., изм. ДВ. бр. 24 от 16 Март 2018 г.  Закон за насърчаване на заетостта.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уреждане на колективните трудови спорове. Обн. ДВ. бр. 21 от 13 Март 1990 г., ..., доп. ДВ. бр. 79 от 13 Октомври 2015 г.Закон за уреждане на колективните трудови спорове.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здравословни и безопасни условия на труд. Обн. ДВ. бр. 124 от 23 Декември 1997г., ..., изм. и доп. ДВ. бр. 97 от 5 Декември 2017 г. Закон за здравословни и безопасни условия на труд.</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Кодекс за социално осигуряване. Обн. ДВ. бр. 110 от 17 Декември 1999 г., ..., изм. и доп. ДВ. бр.46 от 1 Юни 2018 г.Кодекс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Кодекс на труда. Обн. ДВ. бр. 26 от 1 Април 1986 г., ..., изм. и доп. ДВ. бр. 42 от 22 Май 2018 г.Кодекс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Наредба за работното време, почивките и отпуските. Обн. ДВ. бр. 6 от 23 Януари 1987 г., ..., изм. и доп. ДВ. бр. 41 от 23 Май 2017 г. Наредба за работното време, почивките и отпуските.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Правилник за прилагане на закона за насърчаване на заетостта. Обн. ДВ. бр. 58 от 27 Юни 2003 г., ..., изм. и доп. ДВ. бр. 84 от 20 Октомври 2017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Агенция по заетостта (https://www.az.government.bg/).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Българска асоциация за управление на хора (https://www.bapm.bg/).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Кариери: работа, обучение и HR (https://www.karieri.bg/).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Министерство на икономиката (https://www.mi.government.bg/).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Министерството на труда и социалната политика (https://www.mlsp.government.bg/).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All About Human Resources and Talent Management (http://managementhelp.org/humanresources/).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Exploring HR Mamagement (www.exploreHR.org).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Human resources. A collection of articles, books and online resources from the ICAEW Library &amp; Information Service on human resources (http://www.icaew.com/en/library/subject-gateways/human-resources).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Human Resources and the Internet. Cornell University Library (http://guides.library.cornell.edu/HrandtheInternet).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Human resource management. Glasgow Caledonian University (https://www.gcu.ac.uk/library/subjecthelp/subjectguides/humanresourcemanagement/).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Human Resource Management. Wiley Online Library (http://onlinelibrary.wiley.com/journal/10.1002/(ISSN)1099-050X).</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Human Resource Management: Databases and journals. The University of Western Australia (http://guides.is.uwa.edu.au/hrm).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Човешки ресурси и сигурност. https://ec.europa.eu/info/departments/human-resources-and-security_bg.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Емил Николов)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Явор Станев)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Ивайло Костов)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