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ПРОИЗВОДСТВЕН И ТЪРГОВСКИ БИЗНЕС</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ИНДУСТРИАЛЕН БИЗНЕС И ПРЕДПРИЕМАЧЕСТВО</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проф. д-р Любчо Варамезов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5</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14.11.2024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Управление на иновациите в индустриалното предприятие</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ФПТБ-КИБП-Б-315</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ФПТБ-КИБП-Б-315</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БЪЛГАРСКИ/АНГЛИЙСКИ/РУСКИ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v.04/2024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70</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35</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70</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80</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115</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80</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40</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58</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40</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40</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57</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40</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15</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27</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15</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5</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15</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20</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50%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Тест.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Основната цел на курса е формиране в студентите на базови знания за ключовите понятия в областта на иновациите; запознаване с концептуалните постановки и създаване на практически умения за управление на иновациите в процеса на възникване на иновационните идеи, на тяхното разработване, внедряване и пазарна реализация в условията на сложна, динамична, висококонкурентна и рискова среда. </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Курсът „Управление на иновациите в индустриалното предприятие“ влиза в цикъла заключителни дисциплини в бакалавърския блок, изучавани от студентите в специалност „Индустриален бизнес и предприемачество”. Благоприятна предпоставка за постигането на високо качество на усвоените знанията и уменията е позицията му в учебния план. Предоставя се възможност за прилагане на муждудисциплинарния подход и постигане на широка интеграция със знанията и уменията, получени през предходни години, както и тяхното успешно надграждане. Учебното съдържание на курса е в тясна връзка с и използва като изходно начало знанията, усвоени в рамките на редица дисциплини, по-конкретно: микро- и макроикономика, икономика на предприятието, финанси, индустриален риск мениджмънт, предприемачество, организация и управление на стопанските структури и др., които формират добра основа от знания за предметно-функционалните особености на индустриалното предприятие, както и съответните практически умения, необходими за успешно управление на иновациите.</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За усвояване на теоретичните знания и придобиване на практически умения в рамките на учебния курс се използват лекции, дискусии, казуси, демонстрации, директни инструкции, ролеви игри, симулации, мозъчни атаки, разработване на индивидуални и групови проекти  и др. В съответствие с тенденциите за дигитализация широко приложение намират Интернет базираните информационни технологии (Distance Learning платформа, социални мрежи и сайтове за комуникиране и обучение), както и редица иновативни синхронни и асинхронни методи за обучение (интерактивно обучение, инцидентно обучение, проблемно ориентирано обучение, казусно обучение, ролеви и игрови тип обучение, кооперативно/съвместно обучение) и др.</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преподаване на теоретичните знания и придобиване на съответните практически умения за управление на иновациите се използват интернет базирани информационни технологии (Distance Learning платформа, социални мрежи и сайтове за комуникиране и обучение) с прилагане на иновативни синхронни и асинхронни методи за обучение (интерактивно обучение, инцидентно обучение, проблемно ориентирано обучение, казусно обучение, ролеви и игрови тип обучение, кооперативно/съвместно обучение)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В края на обучението по дисциплината "Управление на иновациите в индустриалното предприятие" се очаква студентите да постигнат следните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Знания: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притежават разширени и задълбочени теоретични и фактологични знания в областта на иновациите, включително свързани с най-новите постижения в нея;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самостоятелно да интерпретират придобитите знания в областта на иновациите, като ги свързват с прилагането на факти и чрез критично възприемане, разбиране и изразяване на иновационните теории, концепции и принципи.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Умения: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владеят методи и средства в областта на иновациите, позволяващи решаването на сложни задачи, свързани с разработването и реализирането на иновационни стратегии, с организацията и управлението на иновационния процес, с разработването на иновационни проекти, с оценка на риска от въвеждането и използването на иновациите в предприятието и др.;</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прилагат логическо мислене и проявяват новаторство и творчески подход при решаването на нестандартни задачи в областта на иновациите.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Компетенции: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Самостоятелност и отговорност:</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притежават способността за административно управление на сложни професионални дейности в областта на иновациите, включително на екипи и ресурси за осъществяване на иновационни процеси и дейности;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поемат отговорности при вземането на решения в сложни условия и  взаимодействието на трудно предвидими фактори, влияещи върху планирането, организацията и управлението на иновационните процеси, дейности и проекти в предприятието;</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проявяват творчество и инициативност в процеса на планиране, организиране, реализиране и цялостно управление на иновационните процеси, дейности и проекти в предприятието;</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преценяват необходимостта от обучение на другите с цел повишаване на екипната ефективност при осъществяване на иновационните процеси, дейности и проекти в предприятието.</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Компетентности за учене: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последователно да оценяват собствената си квалификация чрез преценка на придобитите до момента знания и умения в областта на иновациите и да планират необходимостта от разширяване и актуализиране на професионалната си квалификация.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Комуникативни и социални компетентности: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и излагат ясно и разбираемо идеи, проблеми и решения пред специалисти и неспециалисти, свързани с планирането, организацията и управлението на иновационните процеси, дейности и проекти в предприятието;</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изразяват отношение и разбиране по въпроси в областта на иновациите чрез използването на методи, основани на качествени и количествени описания и оценки на иновационните процеси, дейности и проекти в предприятието;</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проявяват широк личен мироглед и показват разбиране и солидарност с другите;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пълноценно да общуват на някои от най-разпространените европейски езици.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Професионални компетентности: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събират, класифицират, оценяват и интерпретират данни от областта на иновациите с цел решаване на конкретни иновационни задачи;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прилагат придобитите знания и умения в областта на иновациите в нови или непознати условия;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проявяват способност да анализира в по-широк или интердисциплинарен контекст процеси, събития, връзки и взаимоотношения в областта на иновациите;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използват нови стратегически подходи; да формират и изразяват собствено мнение по проблеми от обществен и етичен характер, възникващи в процеса на планиране, организация и управление на иновационните процеси, дейности и проекти в предприятието.</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В рамките на България и Европейския съюз учебната дисциплина се чете със същото или подобно наименование в следните университети:</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Университет за национално и световно стопанство, София, България.</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Икономически университет, Варна, България.</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University of Strathclyde, Scotland.</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4.	Aalborg University, Denmark.</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5.	University of Essex, UK.</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6.	University of Twente, Netherlands.</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7.	Radboud University Nijmegen, Netherlands.</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8.	University of Tilburg, Netherlands.</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9.	Hamburg University, Germany.</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10.	University of Duisburg-Essen, Germany.</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11.	University of Magdeburg, Germany.</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12.	University of Economics in Bratislava, Slovakia.</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13.	Budapest Technical and Economics University, Hungary.</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14.	Vienna University of Economics and Business Administration, Austria.</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15.	University of Applied Sciences, Austria.</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ОСНОВНИ ПОНЯТИЯ. СЪЩНОСТ И ВИДОВЕ ИНОВАЦИИ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Основни понятия, свързани с иновациите. Същност и характеристика на иновациите. Подходи за дефиниране на иновациите. Видове иновации. Източници на информация и иновации.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ОСНОВНИ ИНОВАЦИОННИ ТЕОРИИ И КОНЦЕПЦИИ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Иновационни теории и двигатели на промяната – същност и видове. Концептуални модели на иновациите. Концепция за жизнения цикъл и за технологичната позиция. Крива на опита. Концепция на портфейлните матрици.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ОБЩА СРЕДА И СПЕЦИФИЧНИ ФАКТОРИ, ВЛИЯЕЩИ ВЪРХУ ИНОВАЦИИТЕ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Среда на функциониране и развитие. Обща класификация на факторите, влияещи върху иновациите. Фактори, влияещи върху иновационния процес и успеха на иновационните резултати. Бариери пред иновациите.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ИНОВАЦИОНЕН ПРОЦЕС В ИНДУСТРИАЛНОТО ПРЕДПРИЯТИЕ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и характерни черти на иновационния процес. Логически връзки в иновационния процес – еволюция във вижданията. Етапи на иновационния процес. Концептуални модели на иновационния процес.</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СТРАТЕГИЧЕСКИ АСПЕКТИ НА ИНОВАЦИИТЕ. ВАРИАНТИ НА СТРАТЕГИЧЕСКО ПОВЕДЕНИЕ НА ИНДУСТРИАЛНОТО ПРЕДПРИЯТИЕ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на иновационната стратегия и фактори, влияещи върху нейните параметри. Модели за разработване на иновационната стратегия и начини за конструиране на връзката „иновации – стратегия”. Разработване, оценка и избор на иновационна стратегия.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ИНОВАЦИОННИ ПРОЕКТИ В ИНДУСТРИАЛНОТО ПРЕДПРИЯТИЕ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на иновационния проект. Видове иновационни проекти. Разработване, обосновка и оформяне на иновационен проект. Управление на иновационен проект. Критерии и показатели за оценяване. Методи за оценката на икономическата ефективност на иновациите. Методи за многокритерийна оценка на иновационни проекти.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ИНОВАЦИОННИ РИСКОВЕ В ИНДУСТРИАЛНОТО ПРЕДПРИЯТИЕ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и видове иновационни рискове. Управление на рисковете от иновационната дейност. Оценка на рисковете от иновационната дейност. Контрол и противодействие на риска.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VIII. ОРГАНИЗАЦИЯ НА ИНОВАЦИОННИЯ ПРОЦЕС В ИНДУСТРИАЛНОТО ПРЕДПРИЯТИЕ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на организацията на иновационния процес. Класически организационни структури. Съвременни организационни структури. Организационни структури на бъдещето.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IX. УПРАВЛЕНИЕ НА ИНОВАЦИОННИЯ ПРОЦЕС В ИНДУСТРИАЛНОТО ПРЕДПРИЯТИЕ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Същностни аспекти на управлението на иновациите – подходи и функции. Принципи на управление на иновациите и иновационния процес. Поколения в управлението на знанията, технологиите и иновациите. Модели на управление на иновациите. Видове управление на иновационния процес.</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X. ТРАНСФЕР И РАЗПРОСТРАНЕНИЕ НА ИНОВАЦИОННИТЕ РЕЗУЛТАТИ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и видове технологичен трансфер. Режими и форми на технологичен трансфер. Дифузията на иновациите – същност, елементи, функции. Подходи, форми и механизми (методи) за разпространение на иновациите. Етапи на процеса по разпространение на нововъведенията. Видове участници. Фактори, влияещи върху дифузията на иновациите.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Microsoft Office: Word, Excel, PowerPoint.</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Пантелеева, Искра и др.. Управление на иновациите в индустриалното предприятие / Искра Пантелеева, Любчо Варамезов // АИ Ценов, 2022, 222 с., ISBN: 978-954-23-2258-0</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Учебен курс “Управление на иновациите в индустриалното предприятие“ в Платформата за дистанционно и електронно обучение на СА “Д. А. Ценов“. https://dl.uni-svishtov.bg/course/view.php?id=5585</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Варамезов, Л., Пантелеева, И., Славева, К. (2006). Корелацията “Иновационна активност – конкурентноспособност” в контекста на Европейската интеграция на България. // Алманах научни изследвания “Актуални проблеми на бизнессистеми, териториални системи и икономически образователни институции”. СА Д. А. Ценов – Свищов, АИ Ценов, Том 4, 2006, с. 111-146.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Варамезов, Л. (2003). Предприятието в епохата на иновациите. Предприятието на ХХІ-ви век - проблеми и предизвикателства : Научно-практическа конференция с международно участие - Свищов, 29-31 май 2003 г. : T. 1. - Свищов : АИ Ценов, 2003.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Гапоненко, Ал. и др. (2014). Иновации в менеджменте как фактор конкурентоспособности организаций. Проблемы теории и практики управления (Москва), XXXII, 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Денева, А., Христова, В., &amp; Пантелеева, И. (2014). Индустриалната политика на съвременна Европа. // Годишник. СА "Д. А. Ценов" – Свищов, Свищов: АИ Ценов, СХVІІ, 117, 31-80.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Денева, А., Сирашки, Хр., Пантелеева, И., Атанасова, Хр., Йорданова, Е., Ангелова, Р., Петрова, Й., Вакинова-Петрова, М., Костов, И., &amp; Панталеев, Пл. (2016). Съвременни форми за съвместен бизнес. // Алманах Научни изследвания СА „Д. А. Ценов“ – Свищов. Свищов: АИ „Ценов”, 23, 154-179.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Пантелеева, И. (2015). Възможности за развитие на индустриалния сектор на България. // Развитието на българската икономика – 25 години между очакванията и реалностите : Юбилейна международна научна конференция – Свищов, 20-21 ноември 2015 г., Свищов: АИ Ценов, 450-457.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Пантелеева, И. (2015). Възможности за интегриране на целевите ориентири в стратегиите за устойчив, интелигентен и приобщаващ растеж. // Европейски практики и национални рефлексии в планирането: Международна юбилейна научно-практическа конференция. Сборник доклади – Свищов, 24-25 април 2015 г., Свищов: АИ Ценов, 180-189.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Пантелеева, И. (2016). Възможности за трансфериране и комерсиализация на резултатите от академичните научни изследвания. // Икономическо благосъстояние чрез споделяне на знания : Международна научна конференция – Свищов, 09-10 ноември 2016 г., Свищов: АИ Ценов, 122-127.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Пантелеева, И. (2015). Иновационната система – същностни аспекти и практически проекции. // Технологии и наука за устойчиво морско развитие: Международна научна конференция - Варна, 13-14 май 2015 г., ВВМУ Н. Й. Вапцаров, 200-206.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Пантелеева, И. (2014). Подходи за разпространение на нововъведенията. // Икономика и мениджмънт на иновациите – съвременни теории и практики: Десета международна научно-приложна конференция. – Варна, 2-5 юли 2014, АПИУИ, Варна: Арго Сити, 37-45.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Advances in Pre- and Post-Additive Manufacturing Processes: Innovations and Applications. (2024). Съединени щати: Taylor &amp; Francis Limited (Sales).</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Ende, J. (2021). Innovation Management. Великобритания: Bloomsbury Publishing.</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Gray, A. (2020). Innovation Management and Innovation Management Applications in Business.</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Škudienė, V., Li-Ying, J., Bernhard, F. (2020). Innovation Management</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Johannessen, J., Stokvik, H. (2020). Prologue: Innovation Management: Innovation Managemen</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Lee, S. H. (2023). Manufacturing Innovation and Policy Issues for Economic Outcomes. (n.p.): SSRN van den</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17. </w:t>
            </w:r>
            <w:r>
              <w:rPr>
                <w:rFonts w:ascii="Times New Roman" w:hAnsi="Times New Roman"/>
                <w:bCs/>
                <w:color w:val="222222"/>
                <w:spacing w:val="-7"/>
                <w:sz w:val="24"/>
                <w:szCs w:val="24"/>
              </w:rPr>
              <w:t>Singh, D., Khamba, J. S., Nanda, T. (2022). Technology Innovation in Manufacturing. Великобритания: CRC Press.</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18. </w:t>
            </w:r>
            <w:r>
              <w:rPr>
                <w:rFonts w:ascii="Times New Roman" w:hAnsi="Times New Roman"/>
                <w:bCs/>
                <w:color w:val="222222"/>
                <w:spacing w:val="-7"/>
                <w:sz w:val="24"/>
                <w:szCs w:val="24"/>
              </w:rPr>
              <w:t>Technology and Innovation Management: A Practical Guide: Strategies, Tools, and Techniques for Value Creation and Growth. (2024). (n.p.): Notion Press.</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иновациите (Проект). Министерство на икономиката. 09 май 2016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малките и средните предприятия. Обн. ДВ. бр. 84 от 24 Септември 1999г., …., изм. ДВ. бр.30 от 3 Април 2018 г. Закон за малките и средните предприятия.</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насърчаване на научните изследвания. Обн. ДВ. бр. 92 от 17 Октомври 2003 г., ..., изм. ДВ. бр. 58 от 18 Юли 2017 г. Закон за насърчаване на научните изследвания. Обн. ДВ. бр. 92 от 17 Октомври 2003 г., ..., изм. ДВ. бр. 58 от 18 Юли 2017 г.</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Актуализирана Национална стратегия за развитие на научните изследвания в Република България 2017-2030 г. (http://www.strategy.bg/StrategicDocuments/View.aspx?lang=bg-BG&amp;Id=1231).</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Актуализирано Ръководство за изпълнение на договори за безвъзмездна финансова помощ. Оперативна програма "Иновации и конкурентоспособност" 2014-2020 (http://www.opcompetitiveness.bg/module6.php?menu_id=370).</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Експерт „Иновации и технологичен трансфер“ (http://www.vumk.eu/files/upload/Career/expert_inovacii_i_tehnologichen_kontrol.pdf).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Иновационен индикатор предложение на Европейската комисия за нуждите на мониторинга на Европа 2020. Дирекция „Инвестиции, иновации и предприемачество”, отдел „Иновации и предприемачество”, София, 2012,  (http://www.mi.government.bg/files/useruploads/files/innovations/eu__inovindicator.pdf..).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Национален иновационен фонд (https://www.mi.government.bg/bg/themes/nacionalen-inovacionen-fond-19-287.html).</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Иновационна стратегия за интелигентна специализация на Република България 2014 - 2020 (https://www.mi.government.bg/files/useruploads/files/innovations/ris3_26_10_2015_bg.pdf).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Национална стратегия за развитие на научните изследвания 2020 (http://www.strategy.bg/StrategicDocuments/View.aspx?lang=bg-BG&amp;Id=708).</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НИРД и иновации (http://www.nsi.bg/bg/content/2656/%D0%BD%D0%B8%D1%80%D0%B4-%D0%B8-%D0%B8%D0%BD%D0%BE%D0%B2%D0%B0%D1%86%D0%B8%D0%B8).</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Отдел "НИРД, иновации и информационно общество" (http://www.nsi.bg/bg/content/11811/basic-page/%D0%BE%D1%82%D0%B4%D0%B5%D0%BB-%D0%BD%D0%B8%D1%80%D0%B4-%D0%B8%D0%BD%D0%BE%D0%B2%D0%B0%D1%86%D0%B8%D0%B8-%D0%B8-%D0%B8%D0%BD%D1%84%D0%BE%D1%80%D0%BC%D0%B0%D1%86%D0%B8%D0%BE%D0%BD%D0%BD%D0%BE-%D0%BE%D0%B1%D1%89%D0%B5%D1%81%D1%82%D0%B2%D0%BE).</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Предприемачество и иновации в индустрията – представяне на добра практика от химическата промишленост (http://www.bia-bg.com/news/view/21781/).</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Сравнение на резултатите в областта на иновациите: Какъв новатор е страната ви? (http://europa.eu/rapid/press-release_IP-16-2486_bg.htm).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Creativity and Innovation Management. Wiley Online Library (http://onlinelibrary.wiley.com/journal/10.1111/(ISSN)1467-8691).</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Innovation. European Commission (https://ec.europa.eu/growth/industry/innovation_en).</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Innovation. Australian Government. Business.gov.au (https://www.business.gov.au/info/run/innovation).</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Innovation Management. Global Innovation Management Institute (https://www.giminstitute.org/).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Innovation. European Commission (https://ec.europa.eu/growth/industry/innovation_en).</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17. </w:t>
            </w:r>
            <w:r>
              <w:rPr>
                <w:rFonts w:ascii="Times New Roman" w:hAnsi="Times New Roman"/>
                <w:bCs/>
                <w:color w:val="222222"/>
                <w:spacing w:val="-7"/>
                <w:sz w:val="24"/>
                <w:szCs w:val="24"/>
              </w:rPr>
              <w:t>Lemley, M., Feldman, R. Patent Licensing, Technology Transfer, and Innovation. American Economic Review. Vol. 106, No. 5, May 2016, pp. 188-92. (https://www.aeaweb.org/articles?id=10.1257/aer.p20161092Journal of Technology Management &amp; Innovation).</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18. </w:t>
            </w:r>
            <w:r>
              <w:rPr>
                <w:rFonts w:ascii="Times New Roman" w:hAnsi="Times New Roman"/>
                <w:bCs/>
                <w:color w:val="222222"/>
                <w:spacing w:val="-7"/>
                <w:sz w:val="24"/>
                <w:szCs w:val="24"/>
              </w:rPr>
              <w:t>Rahim, H. (2017, 4 May). What is innovation and how can businesses foster it? (according John Bessant, professor of innovation and entrepreneurship at the University of Exeter) (https://www.telegraph.co.uk/connect/better-business/innovation/what-is-innovation-and-how-can-businesses-foster-it/).</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проф. д-р Любчо Варамезов)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Искра Пантелеева)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Сергей Найденов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