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Индустриален риск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ФПТБ-КИБП-Б-309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ФПТБ-КИБП-Б-309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6</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 съдържащ въпроси от отворен и затворен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“Индустриален риск мениджмънт” е студентите от специалност “Индустриален бизнес и предприемачество“ да придобият теоретични, методологични и практико-приложни знания и умения, за да могат своевременно и точно да идентифицират, диагностицират и оценяват голямото разнообразие от рискове в индустриалното предприятие, а също и да противодействат и ограничават негативните последици от тяхното проявление.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Усвояването на фундаментални теоретични знания и изграждането на нови практически умения в областта на индустриалния риск мениджмънт изисква предварителното овладяване и използване на общоикономически знания и умения, придобити при изучаване на учебните курсове по микроикономика, макроикономика, финанси, статистика, счетоводство, икономика на предприятието, фирмено управление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w:t>
      </w:r>
    </w:p>
    <w:p w14:paraId="3EFBF371" w14:textId="5BCB3AD9" w:rsidR="006D3B5D" w:rsidRDefault="006D3B5D" w:rsidP="00BA4B91">
      <w:pPr>
        <w:ind w:firstLine="709"/>
        <w:jc w:val="both"/>
        <w:rPr>
          <w:rFonts w:ascii="Times New Roman" w:hAnsi="Times New Roman"/>
        </w:rPr>
      </w:pPr>
      <w:r>
        <w:rPr>
          <w:rFonts w:ascii="Times New Roman" w:hAnsi="Times New Roman"/>
        </w:rPr>
        <w:t>рамките на учебния курс се използват лекции, дискусии, казуси,</w:t>
      </w:r>
    </w:p>
    <w:p w14:paraId="3EFBF371" w14:textId="5BCB3AD9" w:rsidR="006D3B5D" w:rsidRDefault="006D3B5D" w:rsidP="00BA4B91">
      <w:pPr>
        <w:ind w:firstLine="709"/>
        <w:jc w:val="both"/>
        <w:rPr>
          <w:rFonts w:ascii="Times New Roman" w:hAnsi="Times New Roman"/>
        </w:rPr>
      </w:pPr>
      <w:r>
        <w:rPr>
          <w:rFonts w:ascii="Times New Roman" w:hAnsi="Times New Roman"/>
        </w:rPr>
        <w:t>демонстрации, директни инструкции, ролеви игри, симулации, мозъчни атаки,</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разработване на индивидуални и групови проекти  и др. В съответствие с</w:t>
      </w:r>
    </w:p>
    <w:p w14:paraId="3EFBF371" w14:textId="5BCB3AD9" w:rsidR="006D3B5D" w:rsidRDefault="006D3B5D" w:rsidP="00BA4B91">
      <w:pPr>
        <w:ind w:firstLine="709"/>
        <w:jc w:val="both"/>
        <w:rPr>
          <w:rFonts w:ascii="Times New Roman" w:hAnsi="Times New Roman"/>
        </w:rPr>
      </w:pPr>
      <w:r>
        <w:rPr>
          <w:rFonts w:ascii="Times New Roman" w:hAnsi="Times New Roman"/>
        </w:rPr>
        <w:t>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индустриалния риск мениджмънт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усвояването на изучавания материал и приключването на обучението по дисциплината „Индустриален риск мениджмънт“ от студентите се очаква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по въпросите на индустриалния риск мениджмънт и по-конкретно: да използват базовите понятия и категории разгледани и изяснени в курса, да разбират многоаспектната същност на индустриалния риск мениджмънт, както и неговата роля и значение, да познават процеса на управление на рисковете в индустриалното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апробират и прилагат различните подходи, методи и техники в областта на индустриалния риск мениджмънт;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вземат решения и да управляват процеса във връзка с идентифицирането, диагностицирането, оценяването на рисковете в индустриалното предприятие, както и прилагането на конкретни мерки за противодействие срещу тях.</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конкретни принципи и методи на риск мениджмънта;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модел на управление на риска;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апробират авангардни техники и методи за идентифициране на рисковите ситуации в индустриалното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извършват най-обща практическа диагностика на рисковите ситуации в индустриалното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реализират обективна оценка на рисковете, в зависимост от вида на риска, целите на оценката и особеностите и възможностите на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обща сигурностна програма на индустриалното предприятие.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"Индустриален риск мениджмънт" се чете със същото или подобно наименование в следните български и чуждестранни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Русенски университет "Ангел Кънчев", Русе,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Великотърновски университет "Св. Св. Кирил и Методий", Велико Търново,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Newcastle University,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The University of Aberdeen,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Notthingam,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City university – London,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University of Luton,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Imperial College London, London,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Manchester,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Universität zu Köln,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University of Technology,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14. Athens University of Economics and Business, Greece.</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ГЕНЕЗИС НА РИСКА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в рисковата теория. Дефиниране на риска. Рисковата ситуация: базисна категория в индустриалния риск мениджмънт. Рисков и рискован 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КЛАСИФИКАЦИЯ НА РИСКА В БИЗНЕС ОРАНИЗАЦИЯТА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класификация на риска. Класификация на риска по основни критерии. Видове риск според причината за възникване (според характера, сферата на възникване, мястото на възникване, етапа на решаване на проблема). Видове риск според динамиката (според изменчивостта, продължителността, възможността да бъдат предвидени). Видове риск според последиците (според възможният резултат, интереса към риска, измеримостта, размера на щетите и загубите).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ОСНОВНИ ПРЕДПОСТАВКИ И ФАКТОРИ ЗА РИСКА В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Рискови аспекти на фирмата (предприятието). Рискови аспекти на външната среда на предприятието (фирмата). Рискови предпоставки в симбиозата „предприятие-околна среда“. Стратегическата цел на фирмата като комплексен рисков фактор. Времето като рисков фактор в бизнеса и фирмата. Основни методи за анализ на обкръжаващата бизнес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ІV. ВЪЗНИКВАНЕ, ЕМПИРИЧНИ И ТЕОРЕТИЧНИ ОСНОВИ НА СЪВРЕМЕННИЯ РИСК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Най-ранни емпирични форми на възприемане и отношение към риска. Съвременният етап в развитието на концепцията "риск мениджмънт". Обект, функции и роля на съвременния риск мениджмънт. Структурни елементи на процеса на управление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КОНЦЕПТУАЛНИ СТРУКТУРИ И МОДЕЛИ НА РИСК МЕНИДЖМЪНТА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на корпоративния риск мениджмънт: хронологичен екскурс върху основните концепции и определения. Рестриктивни (класически) концепции, структури и модели. Корпоративният риск мениджмънт: съвременна концепция за тотално третиране на стопанския риск във фирмата.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ДИАГНОСТИЦИРАНЕ И ИДЕНТИФИЦИРАНЕ НА РИСКОВАТА СИТУАЦИЯ НА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Организация на диагностицирането и идентифицирането на рисковата ситуация. Видове диагностициране и идентифициране на предприятието. Определяне на целите и насоките на диагностицирането и идентифицирането. Диагностициране и идентифициране на технико-технологичната подсистема на предприятието. Диагностициране и идентифициране на социалната подсистема. Съвременни и авангардни техники и системи за комплексно диагностициране и идентифициране на рисковата ситуация на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VІI. ИКОНОМИЧЕСКА ДИАГНОСТИКА НА ПРЕДПРИЯТИЕТО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Диагностициране на организацията на активите (имуществения и паричния капитал) на предприятието (фирмата). Диагностициране на ликвидността и финансовото равновесие на предприятието (фирмата). Диагностициране на общата функционалност и ефективността на организацията на фирмения капитал.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VІІI. КОЛИЧЕСТВЕНА ОЦЕНКА НА РИСКА НА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направления на оценката на риска. Оценка и предвиждане на “чистите” физически рискове. Оценка на икономическите (предприемаческите, спекулативните)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ІХ. КОНТРОЛ И ПРОТИВОДЕЙСТВИЕ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Принципи в подходите и организацията на контрола върху риска. Начини на контрол и противодействие на риска. Оценка на ефективността на сигурностната програма на предприятието. Мониторинг на риска и сигурностната програма на предприятието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 МЕНИДЖМЪНТ НА ФИНАНСОВИ РИСКОВЕ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финансови рискове. Оценка на риска и управление на портфейли чрез “МОКА”. Мениджмънт на валутни и ценови рискове чрез хеджиране.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"Индустриален риск мениджмънт" в Платформата за дистанционно и електронно обучение на СА “Д. А. Ценов“, https://dl.uni-svishtov.bg/course/view.php?id=4931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Габровски, Р., &amp; Иванова, З. (2017). Индустриален риск мениджмънт: Учебно пособие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Биолчева, П. (2021). Управление на бизнес риска. София: ИК-УНСС.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Габровски, Р. (2009).  Индустриален риск мениджмънт.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Иванова, З. (2016). Управление на контрагентния риск на индустриалното предприятие. // Икономическо благосъстояние чрез споделяне на знания : Международна научна конференция - Свищов, 09-10 ноем. 2016 г. АИ Ценов, 2016, с. 342-347.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Кънев, П., Пантелеева, И., Иванова, З. &amp; Мехмед, Н. (2014). Пазарното поведение на индустриалните бизнес организации и неговите рискови аспекти. // Алманах научни изследвания „Конкурентоспособност на българската икономика”. СА Д. А. Ценов – Свищов, Свищов: АИ Ценов, 21, 117-147.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Николов, Б. (2012). Управление на риска в производствените системи (Класически и алтернативни решения). ИК Кинг.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Патиас, Й. &amp; Илиева, С. (2019). Управление на риска в проект. - София: ИУ "Св.-Климент-Охридски", 160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Попчев, И. (2016). Шест теми по управление на рискал -София: ИИКТ - БАН.</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Bustad, G., &amp; Bayer, E. (2012). Introducing Risk Management Process to a Manufacturing Industry.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Fraser, J., &amp; Simkins, B. (2010). Enterprise Risk Management: Today's Leading Research and Best Practices for Tomorrow's Executives.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Hopkin, P. (2012). Fundamentals of Risk Management (2nd ed.). Kogan Page.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International Journal of Risk Assessment and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Ivanova, Z. (2015). Risks Associated with the Market Behaviour of Bulgarian Industrial Enterprises. // Економiчний вiсник Донбасу, 4 (42), 111-116.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Ivanova, Z (2017). Management of the Counterparty Risk of an Industrial Enterprise. // Економiчний вiсник Донбасу, 4 (50), 158-164.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Journal of Risk and Financial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The Journal of Enterprise Risk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Turner, J., &amp; Gelles, M. (2012). Threat Assessment: A Risk Management Approach. The Haworth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при бедствия. Обн. ДВ. бр.102 от 19 Декември 2006 г., ..., изм. и доп. ДВ. бр.97 от 5 Декември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здравословни и безопасни условия на труд. Обн. ДВ. бр.124 от 23 Декември 1997 г., ..., изм. и доп. ДВ. бр.97 от 5 Декември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бр.84 от 24 Септември 1999 г., ..., изм. ДВ. бр.30 от 3 Април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Търговски закон. Обн. ДВ. бр.48 от 18 Юни 1991 г., ..., доп. ДВ. бр.27 от 27 Март 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Министерство на икономиката (https://www.mi.government.bg/).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Българският правен портал (http://www.lex.bg/).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Българска стопанска камара (http://www.bia-bg.com).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Официален уебсайт на Европейския съюз (https://europa.eu/european-union/index_bg).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Управление рисками, риск-менеджмент на предприятии (http://www.risk24.ru/).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The Risk Management Association (http://www.rmahq.org/Default.aspx?gmssopc=1).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Risk management. Harvard Business Review (https://hbr.org/topic/risk-management).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Зоя Иванова)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