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„Бизнеспланиране“, МП „Управление на проекти“, МП „Управление на международни проекти“, МП „Публична администрация“, МП „Регионалистика“ и МП „Образователен мениджмънт“.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предприятия/организации/институции,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„Бизнеспланиране“, МП „Управление на проекти“, МП „Управление на международни проекти“, МП „Публична администрация“, МП „Регионалистика“ и МП „Образователен мениджмънт“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Защита на дипломна работа. Учебен курс в Платформата за дистанционно и електронно обучение на СА “Д. А. Ценов“, https://dl.uni-svishtov.bg/course/view.php?id=7053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Богданова, М. и др. Методика за разработване и защита на дипломна работа по публична администрация,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Богданова, М. и др.Методика за разработване и защита на дипломна работа по управление на проекти,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Чиприянов, М Веселинова, Н. Методика за разработване и защита на дипломна работа по бизнес планиране, АИ Ценов,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публичните финанси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управление на европейските структурни и инвестиционни фондове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обществените поръчки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Административно-процесуален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държавния служител</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регионалното развитие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достъп до обществена информация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управление на отпадъците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концесиите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електронното управление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https://iisda.government.bg/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https://www.regionalprofiles.bg/bg/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https://nsi.bg/bg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https://eufunds.bg/bg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https://european-union.europa.eu/index_en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https://ec.europa.eu/eurostat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Христо Сирашки)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Евелина Парашкевова-Великова)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