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СТРАТЕГИЧЕСКО ПЛАНИРАНЕ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07.09.2022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Планиране на иновациите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ФММ-КСП-М-366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ФММ-КСП-М-366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16</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11</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11</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"Планиране на иновациите" е включена в учебния план на специалност "Индустриален бизнес и предприемачество" (съвместна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Основната цел на курса е да се придобият нови знания за същността, етапите на планиране, методите за разработване на иновационни планове в организациите и в териториалните звена. Разглеждат се въпроси, свързани със законодателната и институционалната рамка на планирането, които определят интензивността и плътността на иновационните системи. Включени са актуални теми като гъвкаво планиране, мрежови подходи за разработване на иновативни продукти и услуги, както и участието на гражданите в иновационния процес като една от съвременните тенденции в демократизирането на иновациите. Чрез съвременните методи на обучение – интерактивна лекция, презентация, казус, дискусия, студентите придобиват необходимите знания и изграждат умения за планиране на иновации, наблюдение на изпълнението и коригиране на плана при необходимост.</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Необходимите знания, които се явяват вход, са в областта на проектното управление. Студентите трябва да имат умения за извършване на проблемноориентиран анализ, проактивно стратегическо мислене.</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Преподаването на учебния материал и неговото усвояване в дистанционна форма на обучение предполага използването на различни модели, проектни задания, директни инструкции, учене  чрез правене, индивидуални задания, коучинг, изпълнявани в интернет базирана среда (Платформа за дистанционно обучение,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Курсът предоставя на студентите знания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Познаване и разбиране на иновациите като системен феномен, включващ създаването и развитието на нови организационни знания, които се комерсиализират в иновативни продукти и услуги;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Разлики между традиционните и съвременните подходи към планирането на иновациите;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Предимства и недостатъци на традиционните и модерни подходи;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Етапи на стратегическия иновационен процес;</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Agile принципи и тяхното приложение в контекста на иновационното планиране;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Какво е отворена иновация и какви са нейните рискове и ползи;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Участие на гражданите в иновационния процес в контекста на демократизацията на иновациите;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Връзката на планирането на иновациите с концепцията за устойчиво развитие.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Курсът ще помогне на студентите да придобият умения като: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предлагане на подходящи инструменти за стратегически анализ на конкретни ситуации;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вземане на критични и независими лични преценки при анализа на реални иновации и при сравнение на теоретични модели и перспективи;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комуникационни умения за описване на концепции и модели и за представяне по убедителен и подходящ начин резултатите от критични анализи на иновации;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разработване на обща логическа рамка на иновационен проект;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Канбан подход към планирането.</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Uppsala University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The Free University of Bozen-Bolzano</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Guanghua School of Management, Peking University</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Традиционен подход за планиране на иновациите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Линеен подход за планиране. Етапи на иновационния процес</w:t>
              <w:br/>
              <w:t xml:space="preserve">2. Адаптиране на плана </w:t>
              <w:br/>
              <w:t xml:space="preserve">3. Предимства и недостатъци на линейния подход за планиране на иновациите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Стратегическо планиране на иновациите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Стратегически анализ</w:t>
              <w:br/>
              <w:t xml:space="preserve">2. Визия на плана за иновации</w:t>
              <w:br/>
              <w:t xml:space="preserve">3. Стратегически цели и приоритети</w:t>
              <w:br/>
              <w:t xml:space="preserve">4. Йерархия на целите. Операционализиране на задачите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Институционална среда и нормативна уредба за развитие на иновациите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Институционална среда за насърчаване на иновациите</w:t>
              <w:br/>
              <w:t xml:space="preserve">2. Нормативна база за развитие на иновациите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Гъвкаво планиране на иновациите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Принципи на гъвкавия подход. Приложимост към процеса на планиране на иновациите</w:t>
              <w:br/>
              <w:t xml:space="preserve">2. Планови итерации. Планов спринт. Оценка на изпълнението на плана</w:t>
              <w:br/>
              <w:t xml:space="preserve">3. Канбан подход за планиране на иновационни проекти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Мрежови подход за планиране на иновациите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Стратегически предимства на отворените иновации</w:t>
              <w:br/>
              <w:t xml:space="preserve">2. Рискове при отворени иновации </w:t>
              <w:br/>
              <w:t xml:space="preserve">3.Социалните медии и отворените иновации</w:t>
              <w:br/>
              <w:t xml:space="preserve">4. Иновационни общества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Демократизиране на иновациите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Участие на гражданите в иновационния процес</w:t>
              <w:br/>
              <w:t xml:space="preserve">2. Изграждане на култура на участие на гражданите в иновационния процес</w:t>
              <w:br/>
              <w:t xml:space="preserve">3. Добри практики за участие на граждани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Реализация на иновационните идеи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1.Разработване на иновационен проект</w:t>
              <w:br/>
              <w:t xml:space="preserve">2.Методи и критерии за оценка и избор на иновационен проект</w:t>
              <w:br/>
              <w:t xml:space="preserve">3.Научно-техническо разработване и внедряване на иновацията</w:t>
              <w:br/>
              <w:t xml:space="preserve">4.Управление на риска при изпълнение на иновационни проекти</w:t>
              <w:br/>
              <w:t xml:space="preserve">5.Приложение на ИКТ при реализация на иновационни проекти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Планиране на иновациите на регионално ниво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Институционална среда на регионално ниво - район за планиране, област, община</w:t>
              <w:br/>
              <w:t xml:space="preserve">2. Планови документи на регионално ниво. Етапи на разработване</w:t>
              <w:br/>
              <w:t xml:space="preserve">3. Предизвикателства пред планирането на иновациите на регионално ниво – взаимодействие между институциите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${temi#9}</w:t>
            </w:r>
            <w:r>
              <w:rPr>
                <w:rFonts w:ascii="Times New Roman" w:hAnsi="Times New Roman"/>
                <w:b/>
                <w:sz w:val="24"/>
                <w:szCs w:val="24"/>
              </w:rPr>
              <w:t>Иновационни политики и устойчиво развитие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Цели на устойчивото развитие.  </w:t>
              <w:br/>
              <w:t xml:space="preserve">2. Иновационни политики и програми за устойчиво развитие.</w:t>
              <w:br/>
              <w:t xml:space="preserve">3. Предизвикателства пред разработването на иновационни проекти за устойчиво развитие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Bogdanova, M. Agile Project Management In Governmental Organizations – Methodological Issue,OCERINT- International Organization Center of Academic Research</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Богданова, М. и др. Методика за гъвкаво управление на проекти в публичния сектор, Свищов, АИ Ценов, 2018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Богданова, М. и др. Методика за гъвкаво управление на проекти в публичния сектор, Свищов, АИ Ценов, 2018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Йорданова, З. Интегрирано управление на иновациите в бизнес организацията чрез информационни системи за управление на бизнеса, С.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Благоев, Д. Иновации и иновативност на фирмата, София, Авангард Прима,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Clayton M. Christensen, L.J. Ganser (Narrator) 1997. The Innovator's Dilemma: The Revolutionary Book that Will Change the Way You Do Business, Harper Business Essentials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Vijai Cumar Innovation Planning Toolkit, Illinois Institute of Technology, 2004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Богданова, М. Парашкевова, Е. и Хр. Сирашки. Иновационни проекти. Свищов, АИ Ценов, 2022</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Богданова М., Парашкевова, Е. и Хр. Сирашки. Управление на иновациите. Свищов, АИ Ценов,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Богданова, М и Е. Парашкевова. Управление на иновациите и инвестициите, Свищов, АИ Ценов,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Хаджичонева, И., Предприемачество, иновации и изкуствен интелект в България – динамика и управление, УНСС, 2021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Journal of Product Innovation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Journal of Technology Management &amp; Innovation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Journal of Technology Transfer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Innovation Magazine</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Innovation Success Through Planning, Preparation, and Organization by Woody Bendle https://www.brainzooming.com/blog/innovation-success-though-planning-preparation-and-organization-by-woody-bendle/14591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Strategic Thinking – Damn Right, Left Brained People Have a Creative Thinking Role https://www.brainzooming.com/blog/strategic-thinking-damn-right-left-brained-people-have-a-creative-thinking-role/18899</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Planning Innovation, https://www.coursera.org/lecture/creating-innovation/planning-innovation-hqdXt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Best examples of applicable innovation strategy in business https://www.acceptmission.com/blog/innovation-strategy/</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Top 5 Biggest Challenges in Innovation: How to Overcome?, https://www.acceptmission.com/blog/top-5-biggest-challenges-in-innovation/</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проф. д-р Маргарита Богданова)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доц. д-р Евелина Парашкевова-Великова)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${authors#3}</w:t>
            </w:r>
            <w:r w:rsidRPr="00C10B36">
              <w:rPr>
                <w:rFonts w:ascii="Times New Roman" w:hAnsi="Times New Roman"/>
                <w:bCs/>
                <w:color w:val="222222"/>
                <w:sz w:val="24"/>
                <w:szCs w:val="24"/>
              </w:rPr>
              <w:t>(</w:t>
            </w:r>
            <w:r>
              <w:rPr>
                <w:rFonts w:ascii="Times New Roman" w:hAnsi="Times New Roman"/>
                <w:bCs/>
                <w:color w:val="222222"/>
                <w:sz w:val="24"/>
                <w:szCs w:val="24"/>
              </w:rPr>
              <w:t>доц. д-р Михаил Чиприянов)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${authors#4}</w:t>
            </w:r>
            <w:r w:rsidRPr="00C10B36">
              <w:rPr>
                <w:rFonts w:ascii="Times New Roman" w:hAnsi="Times New Roman"/>
                <w:bCs/>
                <w:color w:val="222222"/>
                <w:sz w:val="24"/>
                <w:szCs w:val="24"/>
              </w:rPr>
              <w:t>(</w:t>
            </w:r>
            <w:r>
              <w:rPr>
                <w:rFonts w:ascii="Times New Roman" w:hAnsi="Times New Roman"/>
                <w:bCs/>
                <w:color w:val="222222"/>
                <w:sz w:val="24"/>
                <w:szCs w:val="24"/>
              </w:rPr>
              <w:t>гл. ас. д-р Елица Лазарова)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Михаил Чиприянов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