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МЕНИДЖМЪНТ И МАРКЕТИНГ</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СТРАТЕГИЧЕСКО ПЛАНИРАНЕ</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Ваня Григорова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5</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Финансови стратегии в публичния сектор</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ФММ-КСП-Б-406</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5</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ФММ-КСП-Б-406</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v.01/2024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56</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28</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56</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69</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97</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69</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35</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49</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35</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34</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48</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34</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11</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15</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11</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6</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9</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6</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6</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9</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6</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11</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15</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11</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125</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125</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125</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45%</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Целта на курса по „Финансови стратегии в публичния сектор“ е да предостави на студентите задълбочени теоретични и практически знания за стратегическото финансово планиране, управлението на публични финанси и използването на иновации и нови технологии в публичния сектор. Съдържанието на дисциплината позволява да се получат умения у студентите за разработване на ефективни финансови стратегии, които да гарантират устойчивост, стабилност и ефикасност на публичните финанси в условия на икономическа нестабилност, глобални кризи и технологични промени. Обучаемите ще бъдат запознати със съвременни финансови инструменти и подходи за справяне с различни предизвикателства, като управление на публичните разходи, инвестиции в устойчиви проекти и инфраструктура, както и стратегии за кризисно управление.
</w:t>
      </w:r>
    </w:p>
    <w:p w14:paraId="4366F864" w14:textId="161C108E" w:rsidR="00106549" w:rsidRDefault="00106549" w:rsidP="00106549">
      <w:pPr>
        <w:ind w:firstLine="709"/>
        <w:jc w:val="both"/>
        <w:rPr>
          <w:rFonts w:ascii="Times New Roman" w:hAnsi="Times New Roman"/>
        </w:rPr>
      </w:pPr>
      <w:r>
        <w:rPr>
          <w:rFonts w:ascii="Times New Roman" w:hAnsi="Times New Roman"/>
        </w:rPr>
        <w:t>Дисциплината обучава студентите в разработването на дългосрочни финансови стратегии, насочени към устойчиво развитие и стабилност на публичните финанси. Те ще се научат да използват фискални инструменти за ефективно управление на кризисни ситуации и извънредни събития, както и да внедряват иновации и нови технологии в управлението на публичните финанси, за да повишат прозрачността, ефективността и ефикасността на публичния сектор. Освен това курсът ще им предостави умения за разработване на стратегии за зелено финансиране и устойчиви публични инвестиции, като ще бъдат разгледани глобалните екологични предизвикателства и преходът към икономика с ниски въглеродни емисии. Студентите ще се запознаят с методи за оценка и оптимизация на разходите в публичната администрация, включително намаляване на бюрокрацията и използване на иновации и технологични решения за повишаване на ефикасността в публичния сектор. Курсът предоставя цялостен поглед върху финансовото управление в публичния сектор, съчетавайки теоретични основи с практически умения за справяне с текущите и бъдещите финансови предизвикателства.</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Входът за курса изисква базови познания от дисциплини като "Микроикономика", "Макроикономика", "Основи на правото", "Основи на управлението," „Въведение във финансите“, "Бизнес информатика", "Регионална политика и регионално развитие" и други, които предоставят основополагащите знания за икономическите, правните и управленските аспекти на публичните финанси. Студентите следва да разполагат с разбиране за пазарната динамика, принципите на управление, правната рамка и основните процеси в публичния сектор, както и с познания за информационните системи и тяхното приложение в бизнеса и управлението. Освен това, курсът ще бъде по-достъпен за студенти с базови умения за аналитично мислене и основни познания по статистически методи, което ще улесни разбирането на финансовите данни и разработването на стратегически планове.</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При обучението на студентите се използва дигитално учебно съдържание, за усвояването на което се прилагат различни традиционни и дигитални методи на обучение и оценяване на придобитите знания и умения (традиционни и видео лекции, казуси, симулации, ролеви игри, дебати, дискусии, демонстрации, мозъчни атаки, директни инструкции, кооперативно учене, независими и групови проекти, учене чрез  преживяване, дигитални инструменти, интерактивни методи на преподаване). Учебните занятия се провеждат както във вид на традиционни лекции чрез използване на съвременни технически средства за презентация (интерактивни дъски и екрани, холограмни проектори, устройства за виртуална реалност и др.), така и във вид на синхронни лекции и семинарни занятия във виртуални класни стаи.
</w:t>
      </w:r>
    </w:p>
    <w:p w14:paraId="3EFBF371" w14:textId="5BCB3AD9" w:rsidR="006D3B5D" w:rsidRDefault="006D3B5D" w:rsidP="00BA4B91">
      <w:pPr>
        <w:ind w:firstLine="709"/>
        <w:jc w:val="both"/>
        <w:rPr>
          <w:rFonts w:ascii="Times New Roman" w:hAnsi="Times New Roman"/>
        </w:rPr>
      </w:pPr>
      <w:r>
        <w:rPr>
          <w:rFonts w:ascii="Times New Roman" w:hAnsi="Times New Roman"/>
        </w:rPr>
        <w:t>Записите на занятията и дигиталните обучителни ресурси се съхраняват в облачно базирани библиотеки с учебни материали, което дава възможност за асинхронен достъп до тези ресурси в удобно за обучаемите време.</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(Distance Learning платформа, социални мрежи и сайтове за комуникиране и обучение) с прилагане на иновативни синхронни и асинхронни методи за обучение (интерактивно обучение, инцидентно обучение, проблемно ориентирано обучение, казусно обучение, ролеви игрови тип обучение, кооперативно/съвместно обучение) и др.</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Очакваните резултати от курса по „Финансови стратегии в публичния сектор“ включват придобиване на задълбочени теоретични знания и практически умения за разработване и прилагане на финансови стратегии, които да осигуряват устойчиво развитие и финансова стабилност в публичния сектор. Студентите ще могат да анализират и оценяват различни финансови механизми, които могат да бъдат използвани за постигане на ефективно управление на публични финанси, както и да разработват дългосрочни финансови планове в условия на глобални икономически промени. Те ще бъдат и в състояние да разработват и прилагат финансови стратегии за дългосрочно планиране, които гарантират стабилност и устойчивост на публичните финанси в условия на нестабилност.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Обучаемите ще развият умения за използване на фискални инструменти в кризисни ситуации, като ще могат да предвиждат и отговорят на икономически кризи, природни бедствия или глобални пандемии чрез подходящо управление на публичните финанси. Те ще придобият способности да създават резерви и буфери за устойчиво финансово управление, както и да внедряват иновации и нови технологии в публичния сектор за повишаване на ефективността и ефикасността на публичните финанси. Ще могат да формулират стратегии за зелено финансиране, като се фокусират върху устойчиви публични инвестиции и екологичен преход, с акцент върху нисковъглеродни икономики и използване на зелени облигации и ESG критерии. Студентите ще развият умения за оптимизация на разходите в публичната администрация, както и за управление на публично-частни партньорства (PPP) за реализиране на инфраструктурни и социални проекти.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След завършване на курса, студентите ще могат да анализират съвременните предизвикателства и възможности пред публичните финанси и да предложат иновативни финансови стратегии, които да отговорят на тези предизвикателства и да осигурят дългосрочен успех на публичния сектор. Те ще бъдат подготвени да играят активна роля в процеса на финансово планиране и управление на публични средства на местно, национално и международно ниво.</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London School of Economics and Political Science (UK)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University of California, Berkeley (USA)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University of Oxford (UK)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University of Cambridge (UK)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International Institute of Public Finance (Germany)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Harvard University (USA)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University of Amsterdam (Netherlands)</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1. Стратегическо финансово планиране и устойчивост в публичния сектор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	Възможности и предизвикателства при разработване на дългосрочни финансови стратегии.
</w:t>
              <w:br/>
              <w:t xml:space="preserve">•	Ролята на стратегическото планиране за постигане на финансова стабилност и устойчивост в условия на глобални икономически промени и нестабилност.
</w:t>
              <w:br/>
              <w:t xml:space="preserve">•	Въздействие на стратегическото финансово планиране върху стабилността на публичните финанси в контекста на глобални кризи.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2. Финансови стратегии за управление на кризи в публичния сектор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	Разработване на стратегии за бързо реагиране на икономически кризи, природни бедствия и глобални пандемии.
</w:t>
              <w:br/>
              <w:t xml:space="preserve">•	Фискални инструменти за възстановяване и стабилизиране на икономиката.
</w:t>
              <w:br/>
              <w:t xml:space="preserve">•	Стратегии за създаване на резерви и буфери в публичния сектор.
</w:t>
              <w:br/>
              <w:t xml:space="preserve">•	Извънредни финансови мерки за управление на кризи и тяхното въздействие върху публичните финанси.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3. Дигитални финанси и иновации в публичния сектор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	Развитие и приложение на дигитални технологии като блокчейн, цифрови валути и автоматизация в публичното финансово управление.
</w:t>
              <w:br/>
              <w:t xml:space="preserve">•	Въздействие на дигитализацията върху процесите на бюджетиране, отчетност и управлението на публични финанси.
</w:t>
              <w:br/>
              <w:t xml:space="preserve">•	Ролята на дигиталните иновации за повишаване на прозрачността и ефективността в публичния сектор.</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4. Финансови стратегии за насърчаване на иновациите в публичния сектор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	Стратегическото финансово управление като основа за стимулиране на иновации в публичните услуги и процеси.
</w:t>
              <w:br/>
              <w:t xml:space="preserve">•	Финансови стратегии за внедряване на нови технологии в управлението на публични услуги.
</w:t>
              <w:br/>
              <w:t xml:space="preserve">•	Подкрепа за иновациите като инструмент за подобряване на публичния сектор и неговото развитие.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5. Зелено финансиране и устойчиви публични инвестиции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	Финансови стратегии за инвестиране в устойчиви проекти и зелена инфраструктура.
</w:t>
              <w:br/>
              <w:t xml:space="preserve">•	Ролята на „зелени“ облигации и ESG критерии в публичните финанси.
</w:t>
              <w:br/>
              <w:t xml:space="preserve">•	Развитие на стратегии за управление на публични финанси в условия на глобални екологични предизвикателства и преход към икономика с ниски въглеродни емисии.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6. Оптимизация на разходите в публичната администрация</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	Финансови стратегии за оптимизация на административните разходи.
</w:t>
              <w:br/>
              <w:t xml:space="preserve">•	Намаляване на бюрокрацията и подобряване на ефикасността в публичния сектор.
</w:t>
              <w:br/>
              <w:t xml:space="preserve">•	Стратегии за постигане на по-висока ефективност в публичния сектор чрез иновации и нови технологии.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7. Публично-частни партньорства ((Public-Private Partnerships - PPP)) в ерата на технологиите: Стратегии за инфраструктурни инвестиции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	Финансови стратегии за публично-частни партньорства (PPP) с цел финансиране на големи инфраструктурни и социални проекти.
</w:t>
              <w:br/>
              <w:t xml:space="preserve">•	Управление на рисковете и ползите от PPP в инфраструктурни проекти.
</w:t>
              <w:br/>
              <w:t xml:space="preserve">•	Стратегии за ефективно използване на публично-частни партньорства при реализирането на инфраструктурни и социални проекти.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Учебен курс в Платформата за дистанционно и електронно обучение на СА “Д. А. Ценов“, https://dl.uni-svishtov.bg/course/view.php?id=8953</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Учебник за дистанционно обучение по Финансови стратегии в публичния сектор. (2024), Академично издателство „Ценов“ – Свищов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3. </w:t>
            </w:r>
            <w:r w:rsidR="007C6374">
              <w:rPr>
                <w:rFonts w:ascii="Times New Roman" w:hAnsi="Times New Roman"/>
                <w:bCs/>
                <w:color w:val="222222"/>
                <w:spacing w:val="-7"/>
                <w:sz w:val="24"/>
                <w:szCs w:val="24"/>
              </w:rPr>
              <w:t>Aiginger, K., Rodrik, D., Rebirth of Industrial Policy and an Agenda for the Twenty-First Century, (2020) Journal of Industry, Competition and Trade, 20 (2), pp. 189-207 http://www.kluweronline.com/issn/1566-1679 doi: 10.1007/s10842-019-00322-3</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4. </w:t>
            </w:r>
            <w:r w:rsidR="007C6374">
              <w:rPr>
                <w:rFonts w:ascii="Times New Roman" w:hAnsi="Times New Roman"/>
                <w:bCs/>
                <w:color w:val="222222"/>
                <w:spacing w:val="-7"/>
                <w:sz w:val="24"/>
                <w:szCs w:val="24"/>
              </w:rPr>
              <w:t>Andreoni, A., Chang, H.-J., The political economy of industrial policy: Structural interdependencies, policy alignment and conflict management, (2019) Structural Change and Economic Dynamics, 48, pp. 136-150 www.elsevier.com/inca/publications/store/5/2/5/1/4/8/ doi: 10.1016/j.strueco.2018.10.007</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5. </w:t>
            </w:r>
            <w:r w:rsidR="007C6374">
              <w:rPr>
                <w:rFonts w:ascii="Times New Roman" w:hAnsi="Times New Roman"/>
                <w:bCs/>
                <w:color w:val="222222"/>
                <w:spacing w:val="-7"/>
                <w:sz w:val="24"/>
                <w:szCs w:val="24"/>
              </w:rPr>
              <w:t>Avdikos, V., Chardas, A., European union cohesion policy post 2014: More (place-based and conditional) Growth–Less redistribution and cohesion, (2016) Territory, Politics, Governance, 4 (1), pp. 97-117 http://www.tandfonline.com/toc/rtep20/current doi: 10.1080/21622671.2014.992460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6. </w:t>
            </w:r>
            <w:r w:rsidR="007C6374">
              <w:rPr>
                <w:rFonts w:ascii="Times New Roman" w:hAnsi="Times New Roman"/>
                <w:bCs/>
                <w:color w:val="222222"/>
                <w:spacing w:val="-7"/>
                <w:sz w:val="24"/>
                <w:szCs w:val="24"/>
              </w:rPr>
              <w:t>Babić, M., (2023) The rise of state capital: Transforming markets and international politics.</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7. </w:t>
            </w:r>
            <w:r w:rsidR="007C6374">
              <w:rPr>
                <w:rFonts w:ascii="Times New Roman" w:hAnsi="Times New Roman"/>
                <w:bCs/>
                <w:color w:val="222222"/>
                <w:spacing w:val="-7"/>
                <w:sz w:val="24"/>
                <w:szCs w:val="24"/>
              </w:rPr>
              <w:t>Bovis, C., Public-private partnerships in the European Union, (2013) Public-Private Partnerships in the European Union, pp. 1-207. http://www.taylorandfrancis.com/books/details/9780203695722 ISBN: 978-020369572-2 doi: 10.4324/9780203695722</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8. </w:t>
            </w:r>
            <w:r w:rsidR="007C6374">
              <w:rPr>
                <w:rFonts w:ascii="Times New Roman" w:hAnsi="Times New Roman"/>
                <w:bCs/>
                <w:color w:val="222222"/>
                <w:spacing w:val="-7"/>
                <w:sz w:val="24"/>
                <w:szCs w:val="24"/>
              </w:rPr>
              <w:t>Bulfone, F., Industrial policy and comparative political economy: A literature review and research agenda, (2023) Competition and Change, 27 (1), pp. 22-43. https://journals.sagepub.com/home/CCH doi: 10.1177/10245294221076225</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9. </w:t>
            </w:r>
            <w:r w:rsidR="007C6374">
              <w:rPr>
                <w:rFonts w:ascii="Times New Roman" w:hAnsi="Times New Roman"/>
                <w:bCs/>
                <w:color w:val="222222"/>
                <w:spacing w:val="-7"/>
                <w:sz w:val="24"/>
                <w:szCs w:val="24"/>
              </w:rPr>
              <w:t>Investment plan for Europe. Are we there yet?, https://www.businesseurope.eu/sites/buseur/files/media/position_papers/ecofin/2016‐11‐28_final_pp_efsi_extension.pdf</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10. </w:t>
            </w:r>
            <w:r w:rsidR="007C6374">
              <w:rPr>
                <w:rFonts w:ascii="Times New Roman" w:hAnsi="Times New Roman"/>
                <w:bCs/>
                <w:color w:val="222222"/>
                <w:spacing w:val="-7"/>
                <w:sz w:val="24"/>
                <w:szCs w:val="24"/>
              </w:rPr>
              <w:t>Cooiman, F., Veni vidi VC–the backend of the digital economy and its political making, (2023) Review of International Political Economy, 30 (1), pp. 229-251. http://www.tandf.co.uk/journals/titles/09692290.asp doi: 10.1080/09692290.2021.1972433</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11. </w:t>
            </w:r>
            <w:r w:rsidR="007C6374">
              <w:rPr>
                <w:rFonts w:ascii="Times New Roman" w:hAnsi="Times New Roman"/>
                <w:bCs/>
                <w:color w:val="222222"/>
                <w:spacing w:val="-7"/>
                <w:sz w:val="24"/>
                <w:szCs w:val="24"/>
              </w:rPr>
              <w:t>Di Cataldo, M., Monastiriotis, V., Rodríguez-Pose, A., How ‘Smart’ Are Smart Specialization Strategies?, (2022) Journal of Common Market Studies, 60 (5), pp. 1272-1298. http://onlinelibrary.wiley.com/journal/10.1111/(ISSN)1468-5965 doi: 10.1111/jcms.13156</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12. </w:t>
            </w:r>
            <w:r w:rsidR="007C6374">
              <w:rPr>
                <w:rFonts w:ascii="Times New Roman" w:hAnsi="Times New Roman"/>
                <w:bCs/>
                <w:color w:val="222222"/>
                <w:spacing w:val="-7"/>
                <w:sz w:val="24"/>
                <w:szCs w:val="24"/>
              </w:rPr>
              <w:t>Gabor, D., The (European) derisking state, (2023) SocArXiv. https://doi.org/10.31235/osf.io/hpbj2</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13. </w:t>
            </w:r>
            <w:r w:rsidR="007C6374">
              <w:rPr>
                <w:rFonts w:ascii="Times New Roman" w:hAnsi="Times New Roman"/>
                <w:bCs/>
                <w:color w:val="222222"/>
                <w:spacing w:val="-7"/>
                <w:sz w:val="24"/>
                <w:szCs w:val="24"/>
              </w:rPr>
              <w:t>Germann, J., Global rivalries, corporate interests and Germany’s ‘National Industrial Strategy 2030’, (2023) Review of International Political Economy, 30 (5), pp. 1749-1775. http://www.tandf.co.uk/journals/titles/09692290.asp doi: 10.1080/09692290.2022.2130958</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14. </w:t>
            </w:r>
            <w:r w:rsidR="007C6374">
              <w:rPr>
                <w:rFonts w:ascii="Times New Roman" w:hAnsi="Times New Roman"/>
                <w:bCs/>
                <w:color w:val="222222"/>
                <w:spacing w:val="-7"/>
                <w:sz w:val="24"/>
                <w:szCs w:val="24"/>
              </w:rPr>
              <w:t>Griffith-Jones, S., Naqvi, N., Leveraging policy steer? Industrial policy, risk-sharing, and the european investment bank, (2021) The Reinvention of Development Banking in the European Union: Industrial Policy in the Single Market and the Emergence of a Field, pp. 90-114. https://oxford.universitypressscholarship.com/view/10.1093/oso/9780198859703.001.0001/oso-9780198859703 ISBN: 978-019885970-3 doi: 10.1093/oso/9780198859703.003.0004</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15. </w:t>
            </w:r>
            <w:r w:rsidR="007C6374">
              <w:rPr>
                <w:rFonts w:ascii="Times New Roman" w:hAnsi="Times New Roman"/>
                <w:bCs/>
                <w:color w:val="222222"/>
                <w:spacing w:val="-7"/>
                <w:sz w:val="24"/>
                <w:szCs w:val="24"/>
              </w:rPr>
              <w:t>Liebe, M., Howarth, D., The European Investment Bank as Policy Entrepreneur and the Promotion of Public-Private Partnerships, (2020) New Political Economy, 25 (2), pp. 195-212. http://www.tandf.co.uk/journals/titles/13563467.asp doi: 10.1080/13563467.2019.1586862</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16. </w:t>
            </w:r>
            <w:r w:rsidR="007C6374">
              <w:rPr>
                <w:rFonts w:ascii="Times New Roman" w:hAnsi="Times New Roman"/>
                <w:bCs/>
                <w:color w:val="222222"/>
                <w:spacing w:val="-7"/>
                <w:sz w:val="24"/>
                <w:szCs w:val="24"/>
              </w:rPr>
              <w:t>Mertens, D., Thiemann, M., Building a hidden investment state? The European Investment Bank, national development banks and European economic governance (Open Access), (2019) Journal of European Public Policy, 26 (1), pp. 23-43. http://www.tandf.co.uk/journals/titles/13501763.html doi: 10.1080/13501763.2017.1382556</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17. </w:t>
            </w:r>
            <w:r w:rsidR="007C6374">
              <w:rPr>
                <w:rFonts w:ascii="Times New Roman" w:hAnsi="Times New Roman"/>
                <w:bCs/>
                <w:color w:val="222222"/>
                <w:spacing w:val="-7"/>
                <w:sz w:val="24"/>
                <w:szCs w:val="24"/>
              </w:rPr>
              <w:t>Sun, L., Fang, S., Iqbal, S., Bilal, A.R., Financial stability role on climate risks, and climate change mitigation: Implications for green economic recovery (Open Access), (2022) Environmental Science and Pollution Research, 29 (22), pp. 33063-33074. https://link.springer.com/journal/11356 doi: 10.1007/s11356-021-17439-w</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Tang, X., Ding, S., Gao, X., Zhao, T., Can digital finance help increase the value of strategic emerging enterprises?, (2022) Sustainable Cities and Society, 81, art. no. 103829. http://www.elsevier.com/wps/find/journaldescription.cws_home/724360/description#description doi: 10.1016/j.scs.2022.103829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Ahluwalia, S., Mahto, R.V., Guerrero, M., Blockchain technology and startup financing: A transaction cost economics perspective, (2020) Technological Forecasting and Social Change, 151, art. no. 119854. https://www.journals.elsevier.com/technological-forecasting-and-social-change doi: 10.1016/j.techfore.2019.119854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Zhou, B., Wang, Y.-L., Bin-Hu, The nonlinear effects of digital finance on carbon performance: Evidence from China, (2024) Journal of Innovation and Knowledge, 9 (2), art. no. 100484. https://www.sciencedirect.com/science/journal/2444569X doi: 10.1016/j.jik.2024.100484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Sadorsky, P., The impact of financial development on energy consumption in emerging economies, (2010) Energy Policy, 38 (5), pp. 2528-2535. doi: 10.1016/j.enpol.2009.12.048</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Siddik, M.N.A., Kabiraj, S., Digital finance for financial inclusion and inclusive growth, (2019) Digital Transformation in Business and Society: Theory and Cases, pp. 155-168. http://www.springer.com/in/book/9783030082765 ISBN: 978-303008277-2; 978-303008276-5 doi: 10.1007/978-3-030-08277-2_10</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Yu, Y., Zhang, Q., Song, F., Non-Linear Impacts and Spatial Spillover of Digital Finance on Green Total Factor Productivity: An Empirical Study of Smart Cities in China, (2023) Sustainability (Switzerland), 15 (12), art. no. 9260. http://www.mdpi.com/journal/sustainability/ doi: 10.3390/su15129260</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Vallentin, S., Governmentalities of CSR: Danish Government Policy as a Reflection of Political Difference, (2015) Journal of Business Ethics, 127 (1), pp. 33-47. https://link.springer.com/journal/10551 doi: 10.1007/s10551-013-1703-5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Constantinides, P., Henfridsson, O., Parker, G.G., Platforms and infrastructures in the digital age, (2018) Information Systems Research, 29 (2), pp. 381-400. https://pubsonline.informs.org/doi/pdf/10.1287/isre.2018.0794 doi: 10.1287/isre.2018.0794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Duarte, R., Miranda-Buetas, S., Sarasa, C., Household consumption patterns and income inequality in EU countries: Scenario analysis for a fair transition towards low-carbon economies, (2021) Energy Economics, 104, art. no. 105614. www.elsevier.com/inca/publications/store/3/0/4/1/3/ doi: 10.1016/j.eneco.2021.105614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Adhami, S., Giudici, G., Anh, H.P.N., New Frontiers in Green Project Financing: Leveraging on the Crowd, (2019) New Frontiers in Entrepreneurial Finance Research, pp. 121-148. https://www.worldscientific.com/worldscibooks/10.1142/11344#t=toc ISBN: 978-981120276-6; 978-981120275-9 doi: 10.1142/9789811202766_0005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Gebhardt, J., Ziegler, R.C., Mourant, A., Water infrastructure financing: the experience of the United States, (2022) Financing Investment in Water Security: Recent Developments and Perspectives, pp. 263-293. https://www.sciencedirect.com/book/9780128228470 ISBN: 978-012822847-0; 978-012822848-7 doi: 10.1016/B978-0-12-822847-0.00014-4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Zheng, S., Wang, K., Chan, F.T.S., Fu, X., Li, Z.-C., Subsidy on transport adaptation investment-modeling decisions under incomplete information and ambiguity (Open Access), (2022) Transportation Research Part B: Methodological, 162, pp. 103-129. www.elsevier.com/inca/publications/store/5/4/8/ doi: 10.1016/j.trb.2022.05.016</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публичните финанси на Република България (Republic of Bulgaria, Public Finance Act) Link:  https://lex.bg/laws/ldoc/2135837967</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държавния бюджет на Република България (State Budget Act) Link:  https://lex.bg/laws/ldoc/2133886466 Link:  https://www.minfin.bg/bg/4</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местните данъци и такси (Local Taxes and Fees Act) Link:  https://lex.bg/laws/ldoc/2134174720</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Регламент (ЕС) № 472/2013 на Европейския парламент и на Съвета относно многогодишните финансови рамки на Европейския съюз Link:  https://eur-lex.europa.eu/legal-content/BG/ALL/?uri=CELEX:32013R0472</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Регламент (ЕС) № 1303/2013 на Европейския парламент и на Съвета относно Общата стратегия за координиране на фискалните политики в ЕС Link:  https://eur-lex.europa.eu/legal-content/BG/TXT/?uri=CELEX%3A32013R1303</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Закон за управление на държавния дълг на Република България (Public Debt Management Act) Link:  https://lex.bg/laws/ldoc/2135458339</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Закон за управление на средствата от европейските фондове при споделено управление (Law on the management of funds from European funds under shared management Act) Link: https://lex.bg/en/laws/ldoc/2136715858</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Финансиране по режим на управление – ЕС (Funding by management mode - EU ) Link: https://commission.europa.eu/funding-tenders/find-funding/funding-management-mode_en</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Рамката на ЕС за фискалните политики (The EU framework for fiscal policies) Link: https://www.europarl.europa.eu/factsheets/bg/sheet/89/%D1%80%D0%B0%D0%BC%D0%BA%D0%B0%D1%82%D0%B0-%D0%BD%D0%B0-%D0%B5%D1%81-%D0%B7%D0%B0-%D1%84%D0%B8%D1%81%D0%BA%D0%B0%D0%BB%D0%BD%D0%B8%D1%82%D0%B5-%D0%BF%D0%BE%D0%BB%D0%B8%D1%82%D0%B8%D0%BA%D0%B8</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Международни стандарти за публични финансови отчети (International Public Sector Accounting Standards - IPSAS) Link:  https://www.ipsasb.org/</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Зелената сделка на ЕС (European Green Deal) Link:  https://commission.europa.eu/strategy-and-policy/priorities-2019-2024/european-green-deal_en</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Конвенцията за финансовата стабилност и дълг на Европейския съюз (Treaty on Stability, Coordination and Governance in the Economic and Monetary Union) Link:  https://www.consilium.europa.eu/media/20399/st00tscg26_en12.pdf</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Организация за икономическо сътрудничество и развитие (OECD) - Principles of Public Governance Link:  https://www.oecd.org/en/topics/governance.html</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14. </w:t>
            </w:r>
            <w:r>
              <w:rPr>
                <w:rFonts w:ascii="Times New Roman" w:hAnsi="Times New Roman"/>
                <w:bCs/>
                <w:color w:val="222222"/>
                <w:spacing w:val="-7"/>
                <w:sz w:val="24"/>
                <w:szCs w:val="24"/>
              </w:rPr>
              <w:t>Рамка за оценка на публичните разходи и финансовата отчетност (PEFA Framework) Link:  https://www.pefa.org/</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15. </w:t>
            </w:r>
            <w:r>
              <w:rPr>
                <w:rFonts w:ascii="Times New Roman" w:hAnsi="Times New Roman"/>
                <w:bCs/>
                <w:color w:val="222222"/>
                <w:spacing w:val="-7"/>
                <w:sz w:val="24"/>
                <w:szCs w:val="24"/>
              </w:rPr>
              <w:t>Конвенция на ООН за борба с корупцията и прозрачността в публичните финанси (UN Convention Against Corruption) Link:  https://www.unodc.org/documents/brussels/UN_Convention_Against_Corruption.pdf</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Международен валутен фонд (МВФ) (International Monetary Fund (IMF) – Fiscal Affairs) Link: https://www.imf.org/en/Home</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Организация за икономическо сътрудничество и развитие (ОИСР) (Organisation for Economic Co-operation and Development (OECD) – Public Financial Management) Link: https://www.oecd.org/en/topics/financial-management-and-reporting.html</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Европейска комисия –публични финанси (European Commission – Public Finances) Link: https://commission.europa.eu/projects/public-finance-governance_en</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Световна банка – управление на публичните финанси (World Bank – Public Financial Management) Link: https://www.worldbank.org/en/topic/governance/brief/public-finance</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Международната публична финансова асоциация (IPFA) (International Public Financial Association (IPFA)) Link: https://www.ipfa.org/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Бюджет на ЕС (EU Budget – European Union) Link: https://ec.europa.eu/info/strategy/eu-budget_en</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Проекти на ЕС – финансиране и безвъзмездни средства от Европейския съюз (EU Projects – European Union Funding and Grants) Link: https://europa.eu/european-union/about-eu/funding-grants_en</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PEFA (Публични разходи и финансова отчетност) (PEFA (Public Expenditure and Financial Accountability)) Link: https://www.pefa.org/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Академия за управление на публичните финанси (Public Financial Management Academy (PFM Academy)) Link: https://capacity4dev.europa.eu/groups/macro-eco_pub-fin/info/pfm-i-bis_en</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Съвет на Европейския съюз – бюджет (Council of the European Union – Budget) Link: https://www.consilium.europa.eu/en/policies/eu-annual-budget/</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Марин Маринов)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Михаил Чиприянов)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гл. ас. д-р Надежда Веселинова)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Михаил Чиприянов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