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СТРАТЕГИЧЕСКО ПЛАНИРАНЕ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2</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14.09.2022</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2</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07.09.2022</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6BC538DA" w14:textId="77777777" w:rsidR="00DD3041" w:rsidRPr="00C10B36" w:rsidRDefault="00DD3041" w:rsidP="00DD3041">
            <w:pPr>
              <w:jc w:val="center"/>
              <w:rPr>
                <w:rFonts w:ascii="Times New Roman" w:hAnsi="Times New Roman"/>
                <w:b/>
                <w:sz w:val="24"/>
                <w:szCs w:val="24"/>
                <w:lang w:val="bg-BG"/>
              </w:rPr>
            </w:pPr>
          </w:p>
          <w:p w14:paraId="082305CD" w14:textId="77777777" w:rsidR="00A34223" w:rsidRPr="00C10B36" w:rsidRDefault="00A34223"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Планиране и развитие на туризма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ФММ-КСП-Б-395</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0C2D48BC" w14:textId="77777777" w:rsidR="00845130" w:rsidRPr="00C10B36" w:rsidRDefault="00845130" w:rsidP="00DD3041">
            <w:pPr>
              <w:rPr>
                <w:rFonts w:ascii="Times New Roman" w:hAnsi="Times New Roman"/>
                <w:sz w:val="24"/>
                <w:szCs w:val="24"/>
                <w:lang w:val="bg-BG"/>
              </w:rPr>
            </w:pPr>
          </w:p>
          <w:p w14:paraId="404C0DC4" w14:textId="77777777" w:rsidR="00845130" w:rsidRPr="00C10B36" w:rsidRDefault="00845130" w:rsidP="00DD3041">
            <w:pPr>
              <w:rPr>
                <w:rFonts w:ascii="Times New Roman" w:hAnsi="Times New Roman"/>
                <w:sz w:val="24"/>
                <w:szCs w:val="24"/>
                <w:lang w:val="bg-BG"/>
              </w:rPr>
            </w:pPr>
          </w:p>
          <w:p w14:paraId="40B8FE41" w14:textId="77777777" w:rsidR="00845130" w:rsidRPr="00D00320" w:rsidRDefault="00845130" w:rsidP="00DD3041">
            <w:pPr>
              <w:rPr>
                <w:rFonts w:ascii="Times New Roman" w:hAnsi="Times New Roman"/>
                <w:sz w:val="24"/>
                <w:szCs w:val="24"/>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67FD77D3" w14:textId="77777777" w:rsidR="00A34223" w:rsidRPr="00C10B36" w:rsidRDefault="00A34223" w:rsidP="00DD3041">
            <w:pPr>
              <w:rPr>
                <w:rFonts w:ascii="Times New Roman" w:hAnsi="Times New Roman"/>
                <w:sz w:val="24"/>
                <w:szCs w:val="24"/>
                <w:lang w:val="bg-BG"/>
              </w:rPr>
            </w:pPr>
          </w:p>
          <w:p w14:paraId="01EAB6F1" w14:textId="77777777" w:rsidR="00A34223" w:rsidRPr="00C10B36" w:rsidRDefault="00A34223"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ФММ-КСП-Б-395</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v.01/2022</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/аудиторна и извънаудиторна/</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2. Извънаудиторна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36</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12</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5</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16B32ED3" w:rsidR="00C32E02" w:rsidRPr="00AB7A25" w:rsidRDefault="00CF40F4" w:rsidP="006A52F9">
      <w:pPr>
        <w:overflowPunct/>
        <w:autoSpaceDE/>
        <w:autoSpaceDN/>
        <w:adjustRightInd/>
        <w:textAlignment w:val="auto"/>
        <w:rPr>
          <w:rFonts w:ascii="Times New Roman" w:hAnsi="Times New Roman"/>
          <w:b/>
          <w:sz w:val="28"/>
          <w:szCs w:val="24"/>
        </w:rPr>
      </w:pPr>
      <w:r>
        <w:rPr>
          <w:rFonts w:ascii="Times New Roman" w:hAnsi="Times New Roman"/>
          <w:b/>
          <w:sz w:val="28"/>
          <w:szCs w:val="24"/>
          <w:lang w:val="bg-BG"/>
        </w:rPr>
        <w:br w:type="page"/>
      </w: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lastRenderedPageBreak/>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5%</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5%</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40%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45%</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Комбинация от тест, казуси и/или въпроси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„Планиране и развитие на туризма“ е включена в учебния план на специалност „Икономика на туризма (съвместна програма)“, която се реализира съвместно с Университета за национално и световно стопанство – София в рамките на проект BG05M2OP001-2.016-0004-C01 „Икономическото образование в България 2030“, финансиран по ОП „Наука и образование за интелигентен растеж“, съфинансиран от Европейския съюз чрез Европейските структурни и инвестиционни фондове.“</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"Планиране и развитие на туризма" включва основните въпроси на теорията и практиката на планиране и развитие на туризма в регионален, национален и международен аспект. Лекционният курс представя на студентите комплексни знания свързани с основни въпроси за структуроопределящите компоненти на туризма; разработването на туристическа политика на международно, национално и регионално равнище; институционална рамка за развитие на туризма; бизнес планиране, екологични и културни аспекти на туристическата индустрия и управлението на кризи.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Входът на курса се формира от фундаментални дисциплини като: "Микроикономика", "Макроикономика", "Основи на правото", " Основи на управлението", "Маркетинг", "Бизнес информатика", "Икономическа социология", "Предприемачество в туристическия бизнес"и др, които предполагат обучаемите да придобият знания, свързани с организацията и работата на икономическата система, ролята на пазара, конкуренцията, цените, ефективно разпределение на ресурсите, международната търговия, и туризма; мениджмънт на въпросите свързани с опазването на околната среда и ефективното разходване на природните ресурси; умения като: критично мислене, аналитични и изследователски умения, както и умения за работа в екип.</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lastRenderedPageBreak/>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w:t>
      </w:r>
    </w:p>
    <w:p w14:paraId="0510FAB4" w14:textId="488C766D"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Обучението по дисциплината "Планиране и развитие на туризма" позволява студентите да придобият знания, свързани с познаване и дискутиране на основната терминология в областта на планирането на туристическата индустрия и нейното развитие в международен, национален и регионален аспект; стратегически анализ в областта на туризма и разработване на подходи, приоритети и цели на развитието. Обучаемите придобиват компетенции за ефективно използване и планиране на икономическата дейност в областта на туризма, на туристическите ресурси и за регионално развитие; задълбочават знанията и уменията по икономика, управление, регионален анализ, стратегическо планиране на социално-икономическото развитие на регионално и национално ниво, решаване на проблемите, на балансирано и устойчиво развитие и интелигентен растеж, оперативно управление на проекти, планове и стратегии за развитие на туризма, анализ и оценка на туристическите дестинации и др.;</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Нов български университет, гр. София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по архитектура, строителство и геодезия, гр. София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Висше Училище по Агробизнес и Развитие на Регионите, гр. Пловдив</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Atlantic International University, Honolulu, USA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Western Michigan University,Kalamazoo MI 49008-5200, USA</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w:t>
            </w:r>
            <w:r>
              <w:rPr>
                <w:rFonts w:ascii="Times New Roman" w:hAnsi="Times New Roman"/>
                <w:b/>
                <w:sz w:val="24"/>
                <w:szCs w:val="24"/>
              </w:rPr>
              <w:t>I. Регулиране и планиране на туристическият бизнес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Обща характеристика на регулаторната рамка</w:t>
              <w:br/>
              <w:t xml:space="preserve">• Политики и планиране в туризма</w:t>
              <w:br/>
              <w:t xml:space="preserve">• Обекти и характеристика на планирането в туризма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${temi#2}</w:t>
            </w:r>
            <w:r>
              <w:rPr>
                <w:rFonts w:ascii="Times New Roman" w:hAnsi="Times New Roman"/>
                <w:b/>
                <w:sz w:val="24"/>
                <w:szCs w:val="24"/>
              </w:rPr>
              <w:t>ІІ. Стратегически аспекти на развитието в сектор туризъм</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Стратегически подходи, средства и процеси в туристическия бизнес</w:t>
              <w:br/>
              <w:t xml:space="preserve">• Гъвкавост на стратегическите решения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${temi#3}</w:t>
            </w:r>
            <w:r>
              <w:rPr>
                <w:rFonts w:ascii="Times New Roman" w:hAnsi="Times New Roman"/>
                <w:b/>
                <w:sz w:val="24"/>
                <w:szCs w:val="24"/>
              </w:rPr>
              <w:t>IIІ. Същност и характеристика на планирането и развитието на сектор туризъм</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Политики за развитие на отрасъл туризъм</w:t>
              <w:br/>
              <w:t xml:space="preserve">• Планиране и развитие на международния туристически бизнес</w:t>
              <w:br/>
              <w:t xml:space="preserve">• Планиране и развитие на туризма в Р. България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${temi#4}</w:t>
            </w:r>
            <w:r>
              <w:rPr>
                <w:rFonts w:ascii="Times New Roman" w:hAnsi="Times New Roman"/>
                <w:b/>
                <w:sz w:val="24"/>
                <w:szCs w:val="24"/>
              </w:rPr>
              <w:t>IV. Развитие на туристическите продукти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Туристически продукти – потенциал и насоки за развитие</w:t>
              <w:br/>
              <w:t xml:space="preserve">• Планиране развитието на туристическите дестинации и техните услуги</w:t>
              <w:br/>
              <w:t xml:space="preserve">• Развитие на туристическото предприятие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${temi#5}</w:t>
            </w:r>
            <w:r>
              <w:rPr>
                <w:rFonts w:ascii="Times New Roman" w:hAnsi="Times New Roman"/>
                <w:b/>
                <w:sz w:val="24"/>
                <w:szCs w:val="24"/>
              </w:rPr>
              <w:t>V. Бизнес планиране в сферата на туризма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Планиране дейността на туристическото предприятие</w:t>
              <w:br/>
              <w:t xml:space="preserve">• Планиране на туристическите продукти</w:t>
              <w:br/>
              <w:t xml:space="preserve">• Характеристика на бизнес плановете в туризма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${temi#6}</w:t>
            </w:r>
            <w:r>
              <w:rPr>
                <w:rFonts w:ascii="Times New Roman" w:hAnsi="Times New Roman"/>
                <w:b/>
                <w:sz w:val="24"/>
                <w:szCs w:val="24"/>
              </w:rPr>
              <w:t>VI. Планиране управлението на кризи в туризма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Същност и признаци на кризата в туризма</w:t>
              <w:br/>
              <w:t xml:space="preserve">• Антикризисно планиране – особености и характеристика в сектор туризъм</w:t>
              <w:br/>
              <w:t xml:space="preserve">• Антикризисен план – ключови стъпки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${temi#7}</w:t>
            </w:r>
            <w:r>
              <w:rPr>
                <w:rFonts w:ascii="Times New Roman" w:hAnsi="Times New Roman"/>
                <w:b/>
                <w:sz w:val="24"/>
                <w:szCs w:val="24"/>
              </w:rPr>
              <w:t>VII. Насърчаване развитието на алтернативен и отговорен туризъм</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Общи принципи и въздействия</w:t>
              <w:br/>
              <w:t xml:space="preserve">• Политики за опазване и възстановяване на околната среда и борба с антихуманните явления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hidden/>
        </w:trPr>
        <w:tc>
          <w:tcPr>
            <w:tcW w:w="4820" w:type="dxa"/>
            <w:shd w:val="clear" w:color="auto" w:fill="D9D9D9"/>
          </w:tcPr>
          <w:p w14:paraId="2BD39866" w14:textId="1750D4EF" w:rsidR="00A56E5C" w:rsidRPr="002F782E" w:rsidRDefault="002F782E" w:rsidP="00795473">
            <w:pPr>
              <w:spacing w:line="240" w:lineRule="atLeast"/>
              <w:jc w:val="right"/>
              <w:rPr>
                <w:rFonts w:ascii="Times New Roman" w:hAnsi="Times New Roman"/>
                <w:b/>
                <w:color w:val="232323"/>
                <w:spacing w:val="-17"/>
                <w:sz w:val="28"/>
                <w:szCs w:val="28"/>
              </w:rPr>
            </w:pPr>
            <w:r w:rsidRPr="003D31E5">
              <w:rPr>
                <w:rFonts w:ascii="Times New Roman" w:hAnsi="Times New Roman"/>
                <w:b/>
                <w:vanish/>
                <w:color w:val="232323"/>
                <w:spacing w:val="-17"/>
                <w:sz w:val="28"/>
                <w:szCs w:val="28"/>
              </w:rPr>
              <w:t>${temi_sum#1}</w:t>
            </w: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bookmarkStart w:id="0" w:name="_GoBack"/>
      <w:bookmarkEnd w:id="0"/>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lastRenderedPageBreak/>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Учебник за дистанционно обучение по Планиране и развитие на туризма</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Анастасова, Л. Маркетингови изследвания в туризма, Летера, Пловдив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http://www.realestatejournal-bg.org/images/doc/vol-1-1/06_Elemita_Velikova.pdf</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https://eurekainstitute.eu/tourist/</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www.strategy.bg</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Списание „Панорама”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Списание "Туристически пазар"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Списание "Икономика"</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туризма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Национална стратегия за устойчиво развитие на туризма в Република България 2014-2030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устройството на Черноморското крайбрежие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Кризисна програма за реклама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Цели на администрацията на Министерство на туризма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Годишната програма за национална туристическа реклама  за 2020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Закон за устройство на територията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Национална стратегия за регионално развитие на Република България (2012-2020)</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www.leadership.com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www.management.сom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Methodology for the Assessment of Capacity of Municipalities in Turkey &amp; the Western Balkans to absorb EU IPA funding (User Guide and Questions Library). UNDP, Europe and CIS Regional Centre, Bratislava, 2008. – 168 pp. Published on http://europeandcis.undp.org/cd/show/7763875A-F203-1EE9-B005916732764E9C.</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http://dlib.eacademy.bg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579503B5" w:rsidR="000976B6" w:rsidRPr="00C10B36" w:rsidRDefault="000976B6" w:rsidP="00447CA9">
            <w:pPr>
              <w:spacing w:line="240" w:lineRule="atLeast"/>
              <w:jc w:val="right"/>
              <w:rPr>
                <w:rFonts w:ascii="Times New Roman" w:hAnsi="Times New Roman"/>
                <w:bCs/>
                <w:color w:val="222222"/>
                <w:sz w:val="24"/>
                <w:szCs w:val="24"/>
              </w:rPr>
            </w:pPr>
            <w:r w:rsidRPr="00E44EE8">
              <w:rPr>
                <w:rFonts w:ascii="Times New Roman" w:hAnsi="Times New Roman"/>
                <w:bCs/>
                <w:vanish/>
                <w:color w:val="222222"/>
                <w:sz w:val="24"/>
                <w:szCs w:val="24"/>
              </w:rPr>
              <w:t>${authors#1}</w:t>
            </w:r>
            <w:r w:rsidRPr="00C10B36">
              <w:rPr>
                <w:rFonts w:ascii="Times New Roman" w:hAnsi="Times New Roman"/>
                <w:bCs/>
                <w:color w:val="222222"/>
                <w:sz w:val="24"/>
                <w:szCs w:val="24"/>
              </w:rPr>
              <w:t>(</w:t>
            </w:r>
            <w:r>
              <w:rPr>
                <w:rFonts w:ascii="Times New Roman" w:hAnsi="Times New Roman"/>
                <w:bCs/>
                <w:color w:val="222222"/>
                <w:sz w:val="24"/>
                <w:szCs w:val="24"/>
              </w:rPr>
              <w:t>гл. ас. д-р Надежда Веселинова)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Михаил Чиприянов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F9F29" w14:textId="77777777" w:rsidR="00726579" w:rsidRDefault="00726579">
      <w:r>
        <w:separator/>
      </w:r>
    </w:p>
  </w:endnote>
  <w:endnote w:type="continuationSeparator" w:id="0">
    <w:p w14:paraId="51D07832" w14:textId="77777777" w:rsidR="00726579" w:rsidRDefault="0072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B5245" w14:textId="77777777" w:rsidR="005E448E" w:rsidRPr="00C32E02" w:rsidRDefault="005E448E" w:rsidP="00CA1B74">
    <w:pPr>
      <w:pStyle w:val="Footer"/>
      <w:framePr w:wrap="around" w:vAnchor="text" w:hAnchor="margin" w:xAlign="right" w:y="1"/>
      <w:rPr>
        <w:rStyle w:val="PageNumber"/>
        <w:rFonts w:ascii="Times New Roman" w:hAnsi="Times New Roman"/>
        <w:sz w:val="20"/>
        <w:lang w:val="ru-RU"/>
      </w:rPr>
    </w:pPr>
    <w:r w:rsidRPr="00C32E02">
      <w:rPr>
        <w:rStyle w:val="PageNumber"/>
        <w:rFonts w:ascii="Times New Roman" w:hAnsi="Times New Roman"/>
        <w:sz w:val="20"/>
      </w:rPr>
      <w:fldChar w:fldCharType="begin"/>
    </w:r>
    <w:r w:rsidRPr="00C32E02">
      <w:rPr>
        <w:rStyle w:val="PageNumber"/>
        <w:rFonts w:ascii="Times New Roman" w:hAnsi="Times New Roman"/>
        <w:sz w:val="20"/>
      </w:rPr>
      <w:instrText xml:space="preserve">PAGE  </w:instrText>
    </w:r>
    <w:r w:rsidRPr="00C32E02">
      <w:rPr>
        <w:rStyle w:val="PageNumber"/>
        <w:rFonts w:ascii="Times New Roman" w:hAnsi="Times New Roman"/>
        <w:sz w:val="20"/>
      </w:rPr>
      <w:fldChar w:fldCharType="separate"/>
    </w:r>
    <w:r w:rsidRPr="00C32E02">
      <w:rPr>
        <w:rStyle w:val="PageNumber"/>
        <w:rFonts w:ascii="Times New Roman" w:hAnsi="Times New Roman"/>
        <w:noProof/>
        <w:sz w:val="20"/>
        <w:lang w:val="ru-RU"/>
      </w:rPr>
      <w:t>5</w:t>
    </w:r>
    <w:r w:rsidRPr="00C32E02">
      <w:rPr>
        <w:rStyle w:val="PageNumber"/>
        <w:rFonts w:ascii="Times New Roman" w:hAnsi="Times New Roman"/>
        <w:sz w:val="20"/>
      </w:rPr>
      <w:fldChar w:fldCharType="end"/>
    </w:r>
  </w:p>
  <w:p w14:paraId="176953BF"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3EBE84E1" w14:textId="77777777" w:rsidR="005E448E" w:rsidRPr="00C32E02" w:rsidRDefault="005E448E" w:rsidP="00C32E02">
    <w:pPr>
      <w:pStyle w:val="Footer"/>
      <w:jc w:val="center"/>
      <w:rPr>
        <w:rFonts w:ascii="Times New Roman" w:hAnsi="Times New Roman"/>
        <w:i/>
        <w:sz w:val="12"/>
        <w:szCs w:val="12"/>
        <w:lang w:val="ru-RU"/>
      </w:rPr>
    </w:pPr>
  </w:p>
  <w:p w14:paraId="2DFC71F3"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5BEFFF66" w14:textId="77777777" w:rsidR="005E448E" w:rsidRPr="00C32E02" w:rsidRDefault="005E448E" w:rsidP="00CA1B74">
    <w:pPr>
      <w:pStyle w:val="Footer"/>
      <w:ind w:right="360"/>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CF896" w14:textId="77777777" w:rsidR="00726579" w:rsidRDefault="00726579">
      <w:r>
        <w:separator/>
      </w:r>
    </w:p>
  </w:footnote>
  <w:footnote w:type="continuationSeparator" w:id="0">
    <w:p w14:paraId="4A84B4B6" w14:textId="77777777" w:rsidR="00726579" w:rsidRDefault="00726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CA9D7"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62336" behindDoc="0" locked="0" layoutInCell="1" allowOverlap="1" wp14:anchorId="42C2B881" wp14:editId="432CFBFD">
          <wp:simplePos x="0" y="0"/>
          <wp:positionH relativeFrom="margin">
            <wp:align>right</wp:align>
          </wp:positionH>
          <wp:positionV relativeFrom="paragraph">
            <wp:posOffset>-22225</wp:posOffset>
          </wp:positionV>
          <wp:extent cx="2301240" cy="723900"/>
          <wp:effectExtent l="0" t="0" r="3810" b="0"/>
          <wp:wrapNone/>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3360" behindDoc="0" locked="0" layoutInCell="1" allowOverlap="1" wp14:anchorId="2FCBEB8F" wp14:editId="3D188DD6">
          <wp:simplePos x="0" y="0"/>
          <wp:positionH relativeFrom="column">
            <wp:posOffset>2540</wp:posOffset>
          </wp:positionH>
          <wp:positionV relativeFrom="paragraph">
            <wp:posOffset>-3175</wp:posOffset>
          </wp:positionV>
          <wp:extent cx="2318385" cy="80581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06BC9ECF"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0D252EDD"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66838895"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5F1BB416"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44D8A8C7"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46CFACA4"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7D86B694" w14:textId="750B6766" w:rsidR="005E448E" w:rsidRDefault="00726579" w:rsidP="00C32E02">
    <w:pPr>
      <w:tabs>
        <w:tab w:val="center" w:pos="4536"/>
        <w:tab w:val="right" w:pos="9072"/>
      </w:tabs>
      <w:jc w:val="center"/>
    </w:pPr>
    <w:r>
      <w:rPr>
        <w:rFonts w:ascii="Monotype Corsiva" w:hAnsi="Monotype Corsiva"/>
        <w:b/>
        <w:sz w:val="24"/>
        <w:szCs w:val="24"/>
        <w:lang w:val="bg-BG"/>
      </w:rPr>
      <w:pict w14:anchorId="7F1C6571">
        <v:rect id="_x0000_i1025" style="width:453.5pt;height:1.5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726579" w:rsidP="00C32E02">
    <w:pPr>
      <w:pStyle w:val="Header"/>
    </w:pPr>
    <w:r>
      <w:rPr>
        <w:rFonts w:ascii="Monotype Corsiva" w:hAnsi="Monotype Corsiva"/>
        <w:b/>
        <w:sz w:val="24"/>
        <w:szCs w:val="24"/>
        <w:lang w:val="bg-BG"/>
      </w:rPr>
      <w:pict w14:anchorId="7C551966">
        <v:rect id="_x0000_i1026"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3321F"/>
    <w:rsid w:val="00041883"/>
    <w:rsid w:val="00046D3F"/>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18C5"/>
    <w:rsid w:val="00831D30"/>
    <w:rsid w:val="00844C87"/>
    <w:rsid w:val="00845130"/>
    <w:rsid w:val="00850D27"/>
    <w:rsid w:val="008564BE"/>
    <w:rsid w:val="00865DDB"/>
    <w:rsid w:val="0087237F"/>
    <w:rsid w:val="00872565"/>
    <w:rsid w:val="008742B5"/>
    <w:rsid w:val="00880DFD"/>
    <w:rsid w:val="00883BC3"/>
    <w:rsid w:val="008A501D"/>
    <w:rsid w:val="008D04AA"/>
    <w:rsid w:val="008D2878"/>
    <w:rsid w:val="008D3DCC"/>
    <w:rsid w:val="008D41D4"/>
    <w:rsid w:val="008E0990"/>
    <w:rsid w:val="008E0FEA"/>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C6C1E"/>
    <w:rsid w:val="00AD18D2"/>
    <w:rsid w:val="00AE7381"/>
    <w:rsid w:val="00AE7443"/>
    <w:rsid w:val="00AF457B"/>
    <w:rsid w:val="00AF6AE2"/>
    <w:rsid w:val="00B13F26"/>
    <w:rsid w:val="00B1776E"/>
    <w:rsid w:val="00B17BC0"/>
    <w:rsid w:val="00B25C9C"/>
    <w:rsid w:val="00B30503"/>
    <w:rsid w:val="00B30F00"/>
    <w:rsid w:val="00B3285A"/>
    <w:rsid w:val="00B45F2A"/>
    <w:rsid w:val="00B56852"/>
    <w:rsid w:val="00B62DE5"/>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C22A5"/>
    <w:rsid w:val="00DC2803"/>
    <w:rsid w:val="00DC6B74"/>
    <w:rsid w:val="00DD2465"/>
    <w:rsid w:val="00DD3041"/>
    <w:rsid w:val="00DD3B16"/>
    <w:rsid w:val="00DD4074"/>
    <w:rsid w:val="00DD55D6"/>
    <w:rsid w:val="00DD7FC8"/>
    <w:rsid w:val="00DE6F40"/>
    <w:rsid w:val="00E25809"/>
    <w:rsid w:val="00E26DC1"/>
    <w:rsid w:val="00E31CB3"/>
    <w:rsid w:val="00E3292D"/>
    <w:rsid w:val="00E36754"/>
    <w:rsid w:val="00E44433"/>
    <w:rsid w:val="00E44EE8"/>
    <w:rsid w:val="00E51552"/>
    <w:rsid w:val="00E52EDC"/>
    <w:rsid w:val="00E55045"/>
    <w:rsid w:val="00E55385"/>
    <w:rsid w:val="00E671AD"/>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3D9E"/>
    <w:rsid w:val="00F70126"/>
    <w:rsid w:val="00F72C6F"/>
    <w:rsid w:val="00F76B7C"/>
    <w:rsid w:val="00F83B86"/>
    <w:rsid w:val="00F8768F"/>
    <w:rsid w:val="00FA03AB"/>
    <w:rsid w:val="00FB0784"/>
    <w:rsid w:val="00FB4A23"/>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4406</TotalTime>
  <Pages>5</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Admin</cp:lastModifiedBy>
  <cp:revision>85</cp:revision>
  <cp:lastPrinted>2008-05-31T10:14:00Z</cp:lastPrinted>
  <dcterms:created xsi:type="dcterms:W3CDTF">2022-10-17T08:46:00Z</dcterms:created>
  <dcterms:modified xsi:type="dcterms:W3CDTF">2022-11-18T11:35:00Z</dcterms:modified>
</cp:coreProperties>
</file>