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Гъвкаво управление на проекти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ФММ-КСП-Б-333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4</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ФММ-КСП-Б-333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36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36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72</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72</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36</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36</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9</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108</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108</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60%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отворени 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Гъвкаво управление на проекти има за цел да формира знания и умения у студентите, свързани с модерни инструменти за управление на проекти на фирмено ниво, както и да формира нагласи за разпознаване и прилагане на иновационни модели на поведение при управление на проекти. Курсът е разработен в светлината на управлението на проекти в софтуерната индустрия, но са разгледани казуси и теми от други сектори и дейности.
</w:t>
      </w:r>
    </w:p>
    <w:p w14:paraId="4366F864" w14:textId="161C108E" w:rsidR="00106549" w:rsidRDefault="00106549" w:rsidP="00106549">
      <w:pPr>
        <w:ind w:firstLine="709"/>
        <w:jc w:val="both"/>
        <w:rPr>
          <w:rFonts w:ascii="Times New Roman" w:hAnsi="Times New Roman"/>
        </w:rPr>
      </w:pPr>
      <w:r>
        <w:rPr>
          <w:rFonts w:ascii="Times New Roman" w:hAnsi="Times New Roman"/>
        </w:rPr>
        <w:t>Agile методологията се прилага, за да се намери по-ефикасен начин за реализиране на проекти. В курса се набляга на това как да се определи кое е ценно и стойностно за клиентите още в началото на процеса по разработване на продукти, как да се разработи екипна визия и представа за работа по метода на сценариите.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да стартира курсът на обучение по Гъвкаво управление на проекти, е необходимо обучаемите да са придобили знания, свързани с основните понятия и теоретични постановки по управление на корпоративни програми и проекти, методите за управление на проекти, софтуерни решения в областта, фирмените стратегии и програми. Студентите следва да са овладели знания и умения, свързани с дисциплините Въведение в проектното управление, Стратегическа рамка за управление на проекти, Финансиране и бюджетиране на проекти.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Прилагат се методи както за индивидуално, така и за групово обучение. Търси се баланс между традиционни (пасивни) методи, при които е необходимо обучаемите да натрупат базови знания и да навлязат в терминологията на учебната дисциплина, и интерактивни методи, при които се поощрява креативността. Прилагат се методи, като дискусия по основни понятия, ролеви игри – по темите за проектните екипи, сценариен анализ и др. 
</w:t>
      </w:r>
    </w:p>
    <w:p w14:paraId="3EFBF371" w14:textId="5BCB3AD9" w:rsidR="006D3B5D" w:rsidRDefault="006D3B5D" w:rsidP="00BA4B91">
      <w:pPr>
        <w:ind w:firstLine="709"/>
        <w:jc w:val="both"/>
        <w:rPr>
          <w:rFonts w:ascii="Times New Roman" w:hAnsi="Times New Roman"/>
        </w:rPr>
      </w:pPr>
      <w:r>
        <w:rPr>
          <w:rFonts w:ascii="Times New Roman" w:hAnsi="Times New Roman"/>
        </w:rPr>
        <w:t>В отделните теми се дефинират ключови проблеми и последователно се предлагат, коментират и изграждат стратегии и тактики за решаване на проблема. Това изисква гъвкав подход на преподаване, ориентиран към актуалните теми и към опита на студентите при решаване на проблеми, изискващи креативност на мисленето.</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развиване на практически умения по основните въпроси, свързани с дисциплината, в учебния курс се използват интернет базирани технологии (Distance Learning платформа, социални мрежи и сайтове за комуникиране на обучение) с прилагане на синхронни и асинхронни методи за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курса студентите: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имат знания за ключови понятия по Гъвкаво управление на проекти, за етапите на процес по управление изпълнението на проект, за Sprint събитията, ролята на собственика на проекта, за подходите на трансформиране на организация в Agile and Scrum,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интерпретират придобитите знания по теми, свързани с гъвкавото управление проекти в софтуерната индустрия и в други сектори;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критично да възприемат концепции и принципи на гъвкавото управление на проекти и да изразяват свое мнение по обсъжданите въпроси;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могат да формулират индикатори за успех (Definition of “Done”, „Project Success Sliders”) по предварително дефинирани задачи по проект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Alberta, Canada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Minnesota,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Swinburne, Melbourne, Australia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Въведение в гъвкавото (Agile) управление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Традиционно и гъвкаво управление на проекти – основни понятия</w:t>
              <w:br/>
              <w:t xml:space="preserve">2. Принципи на гъвкавото управление на проекти</w:t>
              <w:br/>
              <w:t xml:space="preserve">3. Предимства и недостатъци на гъвкавото (Agile) управление на проекти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Стартиране на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Организация на процеса по стартиране </w:t>
              <w:br/>
              <w:t xml:space="preserve">2. Документи за стартиране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Планиране на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Принципи на гъвкавото планиране на проект</w:t>
              <w:br/>
              <w:t xml:space="preserve">2. Нива на планиране </w:t>
              <w:br/>
              <w:t xml:space="preserve">2. Оценка на напредъка на проекта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Изпълнение на проект - Scrum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Рамка на Scrum процеса</w:t>
              <w:br/>
              <w:t xml:space="preserve">2. Измерване и оценка на Scrum</w:t>
              <w:br/>
              <w:t xml:space="preserve">3. Scrum екипи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Sprint събития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на Sprint. Sprint Backlog</w:t>
              <w:br/>
              <w:t xml:space="preserve">2. Планиране на Sprint</w:t>
              <w:br/>
              <w:t xml:space="preserve">3. Преглед и оценка на Sprint</w:t>
              <w:br/>
              <w:t xml:space="preserve">4. Индикатори за успех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Роли в гъвкавото управление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Собственик на продукта </w:t>
              <w:br/>
              <w:t xml:space="preserve">2. Scrum Master</w:t>
              <w:br/>
              <w:t xml:space="preserve">3. Екип по проекта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Вариации на гъвкавото (Agile) управление на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Lean методология</w:t>
              <w:br/>
              <w:t xml:space="preserve">2. Crystal</w:t>
              <w:br/>
              <w:t xml:space="preserve">3. DSDM – метод за динамично развитие на системите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Гъвкаво управление на проекти в Платформата за дистанционно и електронно обучение на СА “Д. А. Ценов“, https://dl.uni-svishtov.bg/course/view.php?id=4769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Choosing to Start Small or Go All In when Adopting Agile https://www.mountaingoatsoftware.com/articles/choosing-to-start-small-or-go-all-in-when-adopting-agile</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Agile Project Management. Quick Start Guide. ClideBank, 2016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Rubin, Kenneth, Essential Scrum. A Practical Guide to the Most Popular Agile Projects. Addison Wesley, 2013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Is It Time to Stop Thinking about Projects?https://www.mountaingoatsoftware.com/blog/is-it-time-to-stop-thinking-about-projects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Risk Up Front: Managing Projects in a Complex World, Adam Josephsand Brad Rubenstein, 2018</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Изисквания за индивидуална компетентност за управление на проекти –Версия 4.0, БАУП, 2018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21 New Year’s Resolutions for Scrum Mastershttps://www.mountaingoatsoftware.com/blog/21-new-years-resolutions-for-scrum-masters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http://agilemethodology.org/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http://www.allaboutagile.com/what-is-agile-10-key-principles/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What is Agile Project Management?  https://www.mountaingoatsoftware.com/agile/agile-project-management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https://www.mountaingoatsoftware.com/agile/scrum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Leading a Self-Organizing Team https://www.mountaingoatsoftware.com/presentations/leading-a-self-organizing-team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Маргарита Богданова)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Евелина Парашкевова-Великова)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Мариела Стоянова)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