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Мониторинг и контрол на проекти </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ФММ-КСП-Б-320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ФММ-КСП-Б-320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Запознаване на бъдещите специалисти по управление на проекти с организацията и прилагането на мониторинг и контрол на проекти, въвеждането на одитни пътеки за мониторинг и контрол, отговорностите на членовете на проектния екип и длъжностните лица от организациите, реализиращи проекти.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основи на управлението на проекти, управление на риска, управление на качеството, интегрирани процеси, финанси, контрол, математика и статистика, както и възможности на студентите за самостоятелна работа.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 се широк спектър от методи за представяне на учебния материал по дисциплината като:
</w:t>
      </w:r>
    </w:p>
    <w:p w14:paraId="3EFBF371" w14:textId="5BCB3AD9" w:rsidR="006D3B5D" w:rsidRDefault="006D3B5D" w:rsidP="00BA4B91">
      <w:pPr>
        <w:ind w:firstLine="709"/>
        <w:jc w:val="both"/>
        <w:rPr>
          <w:rFonts w:ascii="Times New Roman" w:hAnsi="Times New Roman"/>
        </w:rPr>
      </w:pPr>
      <w:r>
        <w:rPr>
          <w:rFonts w:ascii="Times New Roman" w:hAnsi="Times New Roman"/>
        </w:rPr>
        <w:t>1. Презентация.
</w:t>
      </w:r>
    </w:p>
    <w:p w14:paraId="3EFBF371" w14:textId="5BCB3AD9" w:rsidR="006D3B5D" w:rsidRDefault="006D3B5D" w:rsidP="00BA4B91">
      <w:pPr>
        <w:ind w:firstLine="709"/>
        <w:jc w:val="both"/>
        <w:rPr>
          <w:rFonts w:ascii="Times New Roman" w:hAnsi="Times New Roman"/>
        </w:rPr>
      </w:pPr>
      <w:r>
        <w:rPr>
          <w:rFonts w:ascii="Times New Roman" w:hAnsi="Times New Roman"/>
        </w:rPr>
        <w:t>2. Демонстрация.
</w:t>
      </w:r>
    </w:p>
    <w:p w14:paraId="3EFBF371" w14:textId="5BCB3AD9" w:rsidR="006D3B5D" w:rsidRDefault="006D3B5D" w:rsidP="00BA4B91">
      <w:pPr>
        <w:ind w:firstLine="709"/>
        <w:jc w:val="both"/>
        <w:rPr>
          <w:rFonts w:ascii="Times New Roman" w:hAnsi="Times New Roman"/>
        </w:rPr>
      </w:pPr>
      <w:r>
        <w:rPr>
          <w:rFonts w:ascii="Times New Roman" w:hAnsi="Times New Roman"/>
        </w:rPr>
        <w:t>3. Решаване на казуси и тестове.
</w:t>
      </w:r>
    </w:p>
    <w:p w14:paraId="3EFBF371" w14:textId="5BCB3AD9" w:rsidR="006D3B5D" w:rsidRDefault="006D3B5D" w:rsidP="00BA4B91">
      <w:pPr>
        <w:ind w:firstLine="709"/>
        <w:jc w:val="both"/>
        <w:rPr>
          <w:rFonts w:ascii="Times New Roman" w:hAnsi="Times New Roman"/>
        </w:rPr>
      </w:pPr>
      <w:r>
        <w:rPr>
          <w:rFonts w:ascii="Times New Roman" w:hAnsi="Times New Roman"/>
        </w:rPr>
        <w:t>4. Дискусии.
</w:t>
      </w:r>
    </w:p>
    <w:p w14:paraId="3EFBF371" w14:textId="5BCB3AD9" w:rsidR="006D3B5D" w:rsidRDefault="006D3B5D" w:rsidP="00BA4B91">
      <w:pPr>
        <w:ind w:firstLine="709"/>
        <w:jc w:val="both"/>
        <w:rPr>
          <w:rFonts w:ascii="Times New Roman" w:hAnsi="Times New Roman"/>
        </w:rPr>
      </w:pPr>
      <w:r>
        <w:rPr>
          <w:rFonts w:ascii="Times New Roman" w:hAnsi="Times New Roman"/>
        </w:rPr>
        <w:t>5. Ролеви игри.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Преподаването на учебния материал и неговото усвояване в дистанционна форма на обучение включва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Обучението на студентите по дисциплината им дава познания за организацията на мониторинговата и контролната дейност при управлението на проекти, за формите и методите за контрол, за индикаторите за осъществяване на мониторинг, за видовете контролни дейности, осъществяване в процеса на управление на проекти.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Завършилите курса студенти ще могат да разработват планове за мониторинг и контрол на проекти, да формират списък от показатели за мониторинг, да извършват контролни дейности за оценка изпълнението на проектите, на допустимостта на разходите, на спазването на специфичните изисквания на донорите, на резултатите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Harvard Business School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Walden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VA Learning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University of California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Санкт Петербургский Государственый Экономический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цели и обхват на мониторинга и на контрола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Същност на мониторинга и на контрола на проекти
</w:t>
              <w:br/>
              <w:t xml:space="preserve">2.	Цели на мониторинга и на контрола
</w:t>
              <w:br/>
              <w:t xml:space="preserve">3.	Обхват на мониторинга и на контрола на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Показатели за мониторинг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Показатели за изпълнение
</w:t>
              <w:br/>
              <w:t xml:space="preserve">2.	Показатели за резултати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Организация на мониторинга и на контрола на проекти. Одитни пътеки при управление и контрол на процедурите, документите и финансовите средства по проекти, финансирани от 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Вътрешна организация на мониторинга и контрола
</w:t>
              <w:br/>
              <w:t xml:space="preserve">2.	Отговорности на слъжностните лица
</w:t>
              <w:br/>
              <w:t xml:space="preserve">3.	Съдържание на одитните пътки за управление и контрол на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Мониторинга като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Процесен подход към мониторинга
</w:t>
              <w:br/>
              <w:t xml:space="preserve">2. Организационна рамка за мониторинг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Мониторинг и контрол на специфичните изисквания на донорите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Видове специфични изисквания
</w:t>
              <w:br/>
              <w:t xml:space="preserve">2.	Най-чести нарушения на специфичните изисквания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Приложение на резултатите от мониторинга и контрола на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Приложение на резултатите от мониторинга на проект
</w:t>
              <w:br/>
              <w:t xml:space="preserve">2. Приложение на резултатите от контрола на проект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Планиране на мониторинга и контрола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Разглеждат се следните въпроси:
</w:t>
              <w:br/>
              <w:t xml:space="preserve">1. План за мониторинг и контрол
</w:t>
              <w:br/>
              <w:t xml:space="preserve">2. Отчитане на плана за мониторинг и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Project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Primavera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Борисов, Б., Богданова, М., Парашкевова, Е. Мониторинг и контрол на проекти. АИ Ценов, Св.,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Богданова, М., Управление на проекти, АИ „Ценов“,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Клуб Икономика 2000. Добри практики и модели за мониторинг и оценка на проекти. 2019, https://www.club2000.org/uf/%D0%94%D0%BE%D0%BA%D0%BB%D0%B0%D0%B4%201-final.pdf</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по "Мониторинг и контрол на проекти" в Платформата за дистанционно и електронно обучение на СА “Д. А. Ценов“, https://dl.uni-svishtov.bg/course/view.php?id=5125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Нончев, А. Център за изследване на демокрацията. Мониторинг и оценка на публични политики и програми. С.,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Чатфийлд, К., Джонсън, Т. Управление на проекти с Microsoft Project 2002. Софпрес, С.,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Cical, G. The Project Managers Guide to Microsoft Project 2019: Covers Standard, Professional, Server, Project Web App, and Office 365 Versions, Apress,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Harmon P. Buseness Process Change. Morgan Kaufmann Publishers,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IPMA. Organisational Competence Baseline for Developing Competence in Managing by Projects. Amsterdam: IPMA,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Ferens, D.C. Developments in Programme Management. International Journal of Project Management, 1993, 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Jeston J., Nelis J. Business Process Management: Practical Guide to Successful Implementations, Elsevier,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Kerzner, H. Project Management Metrics, KPIs, and Dashboards: A Guide to Measuring and Monitoring Project Performance, Wiley,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Lock, D. Project Management, 6th Edition, Gover,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Murch, R. Project Management – Best Practices for IT Professionals, Prentice Hall,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Project Management Institute. Project Management Body of Knowledge (PMBOK GUIDE), 6th edition. Pennsylvania: Project Management Institute,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управление на средствата от европейските структурни и инвестиционни фондове при споделено управление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European Commission – Aid Delivery Methods, Vol. 1, Project Cycle Management Guidelines. Brussels, 2004.</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https://eumis2020.government.bg/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Евелина Парашкевова-Великова)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Мариела Стоянова)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ас. д-р Димчо Шопов)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