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„Бизнесадминистрация“, МП „Управление на човешките ресурси“ и МП „Фирмен мениджмънт и контролинг“.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„Бизнесадминистрация“, МП „Управление на човешките ресурси“ и МП „Фирмен мениджмънт и контролинг“,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Асенов, А., Дилков, Ц., Емилова, И. Методика за написване на дипломна работа.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в Платформата за дистанционно обучение на Стопанска академия: https://dl.uni-svishtov.bg/course/view.php?id=7049</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Ц. Дилков,  И. Емилова. Теория на управлението, АИ Ценов.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и др. Управленски аспекти на организацията,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И. Емилова. Управление и поведение в организациите. Абагар, В. Търново.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Ц. Дилков, И. Емилова, В. Панайотов, Д. Алексиева, Е. Йорданова, М. Динков, С. Стоянова, Н. Стефанова. Управленски аспекти на организацията, Свищов: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Дилков, Ц. Бизнесриск, Свищов, АИ Ценов,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Емилова, И., М. Динков. Управление на преживяванията- фактор за организационно развитие, АИ "Ценов",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Емилова, И., Динков, М. Мобинг - субективно усещане или обективно състояние в организацията. Годишник. Стопанска академия Д. А. Ценов - Свищов, 2020, бр.123.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Милен Динков)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