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(СУ)</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250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250</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Разработени всички съдържателни компоненти на формулирания в конспекта въпрос</w:t>
            </w:r>
          </w:p>
        </w:tc>
        <w:tc>
          <w:tcPr/>
          <w:p>
            <w:pPr>
              <w:jc w:val="center"/>
            </w:pPr>
            <w:r>
              <w:rPr>
                <w:rFonts w:ascii="Times New Roman" w:hAnsi="Times New Roman" w:eastAsia="Times New Roman" w:cs="Times New Roman"/>
                <w:sz w:val="24"/>
                <w:szCs w:val="24"/>
              </w:rPr>
              <w:t xml:space="preserve">50%</w:t>
            </w:r>
          </w:p>
        </w:tc>
      </w:tr>
      <w:tr>
        <w:trPr/>
        <w:tc>
          <w:tcPr/>
          <w:p>
            <w:pPr/>
            <w:r>
              <w:rPr>
                <w:rFonts w:ascii="Times New Roman" w:hAnsi="Times New Roman" w:eastAsia="Times New Roman" w:cs="Times New Roman"/>
                <w:sz w:val="24"/>
                <w:szCs w:val="24"/>
              </w:rPr>
              <w:t xml:space="preserve">Логическа последователност на изложението</w:t>
            </w:r>
          </w:p>
        </w:tc>
        <w:tc>
          <w:tcPr/>
          <w:p>
            <w:pPr>
              <w:jc w:val="center"/>
            </w:pPr>
            <w:r>
              <w:rPr>
                <w:rFonts w:ascii="Times New Roman" w:hAnsi="Times New Roman" w:eastAsia="Times New Roman" w:cs="Times New Roman"/>
                <w:sz w:val="24"/>
                <w:szCs w:val="24"/>
              </w:rPr>
              <w:t xml:space="preserve">25%</w:t>
            </w:r>
          </w:p>
        </w:tc>
      </w:tr>
      <w:tr>
        <w:trPr/>
        <w:tc>
          <w:tcPr/>
          <w:p>
            <w:pPr/>
            <w:r>
              <w:rPr>
                <w:rFonts w:ascii="Times New Roman" w:hAnsi="Times New Roman" w:eastAsia="Times New Roman" w:cs="Times New Roman"/>
                <w:sz w:val="24"/>
                <w:szCs w:val="24"/>
              </w:rPr>
              <w:t xml:space="preserve">Вярност и точност при разработване на въпросите</w:t>
            </w:r>
          </w:p>
        </w:tc>
        <w:tc>
          <w:tcPr/>
          <w:p>
            <w:pPr>
              <w:jc w:val="center"/>
            </w:pPr>
            <w:r>
              <w:rPr>
                <w:rFonts w:ascii="Times New Roman" w:hAnsi="Times New Roman" w:eastAsia="Times New Roman" w:cs="Times New Roman"/>
                <w:sz w:val="24"/>
                <w:szCs w:val="24"/>
              </w:rPr>
              <w:t xml:space="preserve">25%</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е студентите да покажат, че са усвоили основните познания за специалността, преподавани на лекции и проверявани в семинарните занятия, както и уменията придобити в практическите занятия. Изпитът се провежда по въпросник, приет от катедрения съвет на катедра "Мениджмънт". В него са включени основни теми от подбрани профилиращи обучението в специалността дисциплини.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студенти с успешно взети изпити през всички години на обучението, както и успешно приключила преддипломна практика.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В деня на изпита държавната изпитна комисия подготвя пълен комплект с въпроси, от който студентите изтеглят публично и лотарийно два, след което имат на разположение до три астрономически часа, за да ги развият писмено.  </w:t>
      </w:r>
    </w:p>
    <w:p w14:paraId="3EFBF371" w14:textId="5BCB3AD9" w:rsidR="006D3B5D" w:rsidRDefault="006D3B5D" w:rsidP="00BA4B91">
      <w:pPr>
        <w:ind w:firstLine="709"/>
        <w:jc w:val="both"/>
        <w:rPr>
          <w:rFonts w:ascii="Times New Roman" w:hAnsi="Times New Roman"/>
        </w:rPr>
      </w:pPr>
      <w:r>
        <w:rPr>
          <w:rFonts w:ascii="Times New Roman" w:hAnsi="Times New Roman"/>
        </w:rPr>
        <w:t>Оценяване по компоненти:</w:t>
      </w:r>
    </w:p>
    <w:p w14:paraId="3EFBF371" w14:textId="5BCB3AD9" w:rsidR="006D3B5D" w:rsidRDefault="006D3B5D" w:rsidP="00BA4B91">
      <w:pPr>
        <w:ind w:firstLine="709"/>
        <w:jc w:val="both"/>
        <w:rPr>
          <w:rFonts w:ascii="Times New Roman" w:hAnsi="Times New Roman"/>
        </w:rPr>
      </w:pPr>
      <w:r>
        <w:rPr>
          <w:rFonts w:ascii="Times New Roman" w:hAnsi="Times New Roman"/>
        </w:rPr>
        <w:t>- слаба оценка се пише при недостатъчно развити или грешно развити два въпроса.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успешно издържан държавен изпит студентите ще могат: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като ги свързват с прилагането на факти и чрез критично възприемане, разбиране и изразяване на теории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разширените и задълбочени теоретични и фактологични знания в областта,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свободно методите и средствата, позволяващи решаване на сложни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да проявяват новаторство и творчески подход при решаване на нестандартни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покажат спосбност за административно управление на сложни професионални дейности, включително на екипи и ресурси;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 на решения в сложни условия, при влиянието на различни взаимодействащи си и трудно предвидими фактори;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управленската дейност;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последователно собствената си квалификация чрез преценка на придобитите до момента знания и умения,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чрез използване на методи, основани на качествени и количествени описания и оценки;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да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своето обучение с цел решаване на конкретни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формират и изразяват собствено мнение по проблеми от обществен и етичен характер, възникващи в процеса на работата.</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1. Исторически преглед върху науката за управление</w:t>
            </w:r>
          </w:p>
        </w:tc>
      </w:tr>
      <w:tr>
        <w:trPr/>
        <w:tc>
          <w:tcPr/>
          <w:p>
            <w:pPr/>
            <w:r>
              <w:rPr>
                <w:rFonts w:ascii="Times New Roman" w:hAnsi="Times New Roman" w:eastAsia="Times New Roman" w:cs="Times New Roman"/>
                <w:sz w:val="26"/>
                <w:szCs w:val="26"/>
              </w:rPr>
              <w:t xml:space="preserve">Еволюция на  управленската мисъл. Възникване, формиране и съдържание на различните школи в управлението. Американски и японски модели в мениджмънта. Системи за оперативно планиране. Японска система за управление на трудовите ресурси. Управлението от кибернетична гледна точка. </w:t>
            </w:r>
          </w:p>
        </w:tc>
      </w:tr>
      <w:tr>
        <w:trPr/>
        <w:tc>
          <w:tcPr/>
          <w:p>
            <w:pPr/>
            <w:r>
              <w:rPr>
                <w:rFonts w:ascii="Times New Roman" w:hAnsi="Times New Roman" w:eastAsia="Times New Roman" w:cs="Times New Roman"/>
                <w:sz w:val="26"/>
                <w:szCs w:val="26"/>
                <w:b w:val="1"/>
                <w:bCs w:val="1"/>
              </w:rPr>
              <w:t xml:space="preserve">ТЕМА 2. Управленски функции</w:t>
            </w:r>
          </w:p>
        </w:tc>
      </w:tr>
      <w:tr>
        <w:trPr/>
        <w:tc>
          <w:tcPr/>
          <w:p>
            <w:pPr/>
            <w:r>
              <w:rPr>
                <w:rFonts w:ascii="Times New Roman" w:hAnsi="Times New Roman" w:eastAsia="Times New Roman" w:cs="Times New Roman"/>
                <w:sz w:val="26"/>
                <w:szCs w:val="26"/>
              </w:rPr>
              <w:t xml:space="preserve">Същност на управленските функции. Основни управленски функции – целеполагане, планиране, организиране, ръководене, контрол и регулиране. Характеристика на функцията ръководене и мениджърската дейност по координиране  на персонала.</w:t>
            </w:r>
          </w:p>
        </w:tc>
      </w:tr>
      <w:tr>
        <w:trPr/>
        <w:tc>
          <w:tcPr/>
          <w:p>
            <w:pPr/>
            <w:r>
              <w:rPr>
                <w:rFonts w:ascii="Times New Roman" w:hAnsi="Times New Roman" w:eastAsia="Times New Roman" w:cs="Times New Roman"/>
                <w:sz w:val="26"/>
                <w:szCs w:val="26"/>
                <w:b w:val="1"/>
                <w:bCs w:val="1"/>
              </w:rPr>
              <w:t xml:space="preserve">ТЕМА 3. Управленски структури</w:t>
            </w:r>
          </w:p>
        </w:tc>
      </w:tr>
      <w:tr>
        <w:trPr/>
        <w:tc>
          <w:tcPr/>
          <w:p>
            <w:pPr/>
            <w:r>
              <w:rPr>
                <w:rFonts w:ascii="Times New Roman" w:hAnsi="Times New Roman" w:eastAsia="Times New Roman" w:cs="Times New Roman"/>
                <w:sz w:val="26"/>
                <w:szCs w:val="26"/>
              </w:rPr>
              <w:t xml:space="preserve">Същност и елементи на управленските структури. Видове управленски структури. Формализация на организационната структура. Основни принципи за изграждане на управленска структура. </w:t>
            </w:r>
          </w:p>
        </w:tc>
      </w:tr>
      <w:tr>
        <w:trPr/>
        <w:tc>
          <w:tcPr/>
          <w:p>
            <w:pPr/>
            <w:r>
              <w:rPr>
                <w:rFonts w:ascii="Times New Roman" w:hAnsi="Times New Roman" w:eastAsia="Times New Roman" w:cs="Times New Roman"/>
                <w:sz w:val="26"/>
                <w:szCs w:val="26"/>
                <w:b w:val="1"/>
                <w:bCs w:val="1"/>
              </w:rPr>
              <w:t xml:space="preserve">ТЕМА 4. Управленско решение</w:t>
            </w:r>
          </w:p>
        </w:tc>
      </w:tr>
      <w:tr>
        <w:trPr/>
        <w:tc>
          <w:tcPr/>
          <w:p>
            <w:pPr/>
            <w:r>
              <w:rPr>
                <w:rFonts w:ascii="Times New Roman" w:hAnsi="Times New Roman" w:eastAsia="Times New Roman" w:cs="Times New Roman"/>
                <w:sz w:val="26"/>
                <w:szCs w:val="26"/>
              </w:rPr>
              <w:t xml:space="preserve">Същност на управленското решение. Подходи, методи и модели за вземане на управленско решение. Видове управленски решения. </w:t>
            </w:r>
          </w:p>
        </w:tc>
      </w:tr>
      <w:tr>
        <w:trPr/>
        <w:tc>
          <w:tcPr/>
          <w:p>
            <w:pPr/>
            <w:r>
              <w:rPr>
                <w:rFonts w:ascii="Times New Roman" w:hAnsi="Times New Roman" w:eastAsia="Times New Roman" w:cs="Times New Roman"/>
                <w:sz w:val="26"/>
                <w:szCs w:val="26"/>
                <w:b w:val="1"/>
                <w:bCs w:val="1"/>
              </w:rPr>
              <w:t xml:space="preserve">ТЕМА 5. Методи за управление</w:t>
            </w:r>
          </w:p>
        </w:tc>
      </w:tr>
      <w:tr>
        <w:trPr/>
        <w:tc>
          <w:tcPr/>
          <w:p>
            <w:pPr/>
            <w:r>
              <w:rPr>
                <w:rFonts w:ascii="Times New Roman" w:hAnsi="Times New Roman" w:eastAsia="Times New Roman" w:cs="Times New Roman"/>
                <w:sz w:val="26"/>
                <w:szCs w:val="26"/>
              </w:rPr>
              <w:t xml:space="preserve">Методи на управление. Административни методи. Икономически методи. Социално – психологически методи. </w:t>
            </w:r>
          </w:p>
        </w:tc>
      </w:tr>
      <w:tr>
        <w:trPr/>
        <w:tc>
          <w:tcPr/>
          <w:p>
            <w:pPr/>
            <w:r>
              <w:rPr>
                <w:rFonts w:ascii="Times New Roman" w:hAnsi="Times New Roman" w:eastAsia="Times New Roman" w:cs="Times New Roman"/>
                <w:sz w:val="26"/>
                <w:szCs w:val="26"/>
                <w:b w:val="1"/>
                <w:bCs w:val="1"/>
              </w:rPr>
              <w:t xml:space="preserve">ТЕМА 6. Информацията в управлението</w:t>
            </w:r>
          </w:p>
        </w:tc>
      </w:tr>
      <w:tr>
        <w:trPr/>
        <w:tc>
          <w:tcPr/>
          <w:p>
            <w:pPr/>
            <w:r>
              <w:rPr>
                <w:rFonts w:ascii="Times New Roman" w:hAnsi="Times New Roman" w:eastAsia="Times New Roman" w:cs="Times New Roman"/>
                <w:sz w:val="26"/>
                <w:szCs w:val="26"/>
              </w:rPr>
              <w:t xml:space="preserve">Информационното осигуряване на процеса на управление. Разработване на система от мерки  за ефективно използване на информацията. Роля на информационните технологии при взаимодействието на хората. </w:t>
            </w:r>
          </w:p>
        </w:tc>
      </w:tr>
      <w:tr>
        <w:trPr/>
        <w:tc>
          <w:tcPr/>
          <w:p>
            <w:pPr/>
            <w:r>
              <w:rPr>
                <w:rFonts w:ascii="Times New Roman" w:hAnsi="Times New Roman" w:eastAsia="Times New Roman" w:cs="Times New Roman"/>
                <w:sz w:val="26"/>
                <w:szCs w:val="26"/>
                <w:b w:val="1"/>
                <w:bCs w:val="1"/>
              </w:rPr>
              <w:t xml:space="preserve">ТЕМА 7. Човекът в управлението</w:t>
            </w:r>
          </w:p>
        </w:tc>
      </w:tr>
      <w:tr>
        <w:trPr/>
        <w:tc>
          <w:tcPr/>
          <w:p>
            <w:pPr/>
            <w:r>
              <w:rPr>
                <w:rFonts w:ascii="Times New Roman" w:hAnsi="Times New Roman" w:eastAsia="Times New Roman" w:cs="Times New Roman"/>
                <w:sz w:val="26"/>
                <w:szCs w:val="26"/>
              </w:rPr>
              <w:t xml:space="preserve">Ръководител и подчинен в управлението. Връзка: ръководител – подчинен. Съвременни измерения на връзката: ръководител – подчинен. </w:t>
            </w:r>
          </w:p>
        </w:tc>
      </w:tr>
      <w:tr>
        <w:trPr/>
        <w:tc>
          <w:tcPr/>
          <w:p>
            <w:pPr/>
            <w:r>
              <w:rPr>
                <w:rFonts w:ascii="Times New Roman" w:hAnsi="Times New Roman" w:eastAsia="Times New Roman" w:cs="Times New Roman"/>
                <w:sz w:val="26"/>
                <w:szCs w:val="26"/>
                <w:b w:val="1"/>
                <w:bCs w:val="1"/>
              </w:rPr>
              <w:t xml:space="preserve">ТЕМА 8. Кадрово осигуряване в управлението</w:t>
            </w:r>
          </w:p>
        </w:tc>
      </w:tr>
      <w:tr>
        <w:trPr/>
        <w:tc>
          <w:tcPr/>
          <w:p>
            <w:pPr/>
            <w:r>
              <w:rPr>
                <w:rFonts w:ascii="Times New Roman" w:hAnsi="Times New Roman" w:eastAsia="Times New Roman" w:cs="Times New Roman"/>
                <w:sz w:val="26"/>
                <w:szCs w:val="26"/>
              </w:rPr>
              <w:t xml:space="preserve">Способи за подбор на персонала. Особености на рекрутинга в българските и чуждестранните компании. Проблемът за оценка на кандидата за вакантната длъжност. Степени на подбора на кандидатите за длъжността. Методи за оценка на персонала. Обосноваване на необходимостта от използване на методите за подбор на кандидатите. Атестационен метод. Игротехнически метод. Метод на ситуационното моделиране.</w:t>
            </w:r>
          </w:p>
        </w:tc>
      </w:tr>
      <w:tr>
        <w:trPr/>
        <w:tc>
          <w:tcPr/>
          <w:p>
            <w:pPr/>
            <w:r>
              <w:rPr>
                <w:rFonts w:ascii="Times New Roman" w:hAnsi="Times New Roman" w:eastAsia="Times New Roman" w:cs="Times New Roman"/>
                <w:sz w:val="26"/>
                <w:szCs w:val="26"/>
                <w:b w:val="1"/>
                <w:bCs w:val="1"/>
              </w:rPr>
              <w:t xml:space="preserve">ТЕМА 9. Лидерство и мениджмънт</w:t>
            </w:r>
          </w:p>
        </w:tc>
      </w:tr>
      <w:tr>
        <w:trPr/>
        <w:tc>
          <w:tcPr/>
          <w:p>
            <w:pPr/>
            <w:r>
              <w:rPr>
                <w:rFonts w:ascii="Times New Roman" w:hAnsi="Times New Roman" w:eastAsia="Times New Roman" w:cs="Times New Roman"/>
                <w:sz w:val="26"/>
                <w:szCs w:val="26"/>
              </w:rPr>
              <w:t xml:space="preserve">Дефиниране на понятието „лидерство”. Психологически теории за лидерството. </w:t>
            </w:r>
          </w:p>
        </w:tc>
      </w:tr>
      <w:tr>
        <w:trPr/>
        <w:tc>
          <w:tcPr/>
          <w:p>
            <w:pPr/>
            <w:r>
              <w:rPr>
                <w:rFonts w:ascii="Times New Roman" w:hAnsi="Times New Roman" w:eastAsia="Times New Roman" w:cs="Times New Roman"/>
                <w:sz w:val="26"/>
                <w:szCs w:val="26"/>
                <w:b w:val="1"/>
                <w:bCs w:val="1"/>
              </w:rPr>
              <w:t xml:space="preserve">ТЕМА 10. Управление на промяната</w:t>
            </w:r>
          </w:p>
        </w:tc>
      </w:tr>
      <w:tr>
        <w:trPr/>
        <w:tc>
          <w:tcPr/>
          <w:p>
            <w:pPr/>
            <w:r>
              <w:rPr>
                <w:rFonts w:ascii="Times New Roman" w:hAnsi="Times New Roman" w:eastAsia="Times New Roman" w:cs="Times New Roman"/>
                <w:sz w:val="26"/>
                <w:szCs w:val="26"/>
              </w:rPr>
              <w:t xml:space="preserve">Мястото и ролята на промяната в организациите. Интерактивните променливи на организацията. Класифициране на организационната промяна. Модели за изучаване и управление на организационната промяна. </w:t>
            </w:r>
          </w:p>
        </w:tc>
      </w:tr>
      <w:tr>
        <w:trPr/>
        <w:tc>
          <w:tcPr/>
          <w:p>
            <w:pPr/>
            <w:r>
              <w:rPr>
                <w:rFonts w:ascii="Times New Roman" w:hAnsi="Times New Roman" w:eastAsia="Times New Roman" w:cs="Times New Roman"/>
                <w:sz w:val="26"/>
                <w:szCs w:val="26"/>
                <w:b w:val="1"/>
                <w:bCs w:val="1"/>
              </w:rPr>
              <w:t xml:space="preserve">ТЕМА 11. Социалната отговорност</w:t>
            </w:r>
          </w:p>
        </w:tc>
      </w:tr>
      <w:tr>
        <w:trPr/>
        <w:tc>
          <w:tcPr/>
          <w:p>
            <w:pPr/>
            <w:r>
              <w:rPr>
                <w:rFonts w:ascii="Times New Roman" w:hAnsi="Times New Roman" w:eastAsia="Times New Roman" w:cs="Times New Roman"/>
                <w:sz w:val="26"/>
                <w:szCs w:val="26"/>
              </w:rPr>
              <w:t xml:space="preserve">Идеята за социалната отговорност – кратък исторически преглед. Дефиниране на социалната отговорност. Аргументи „за“ и „против“ социалната отговорност. Принципи на социалната отговорност. Модели за социална отговорност. </w:t>
            </w:r>
          </w:p>
        </w:tc>
      </w:tr>
      <w:tr>
        <w:trPr/>
        <w:tc>
          <w:tcPr/>
          <w:p>
            <w:pPr/>
            <w:r>
              <w:rPr>
                <w:rFonts w:ascii="Times New Roman" w:hAnsi="Times New Roman" w:eastAsia="Times New Roman" w:cs="Times New Roman"/>
                <w:sz w:val="26"/>
                <w:szCs w:val="26"/>
                <w:b w:val="1"/>
                <w:bCs w:val="1"/>
              </w:rPr>
              <w:t xml:space="preserve">ТЕМА 12. Етика и управление</w:t>
            </w:r>
          </w:p>
        </w:tc>
      </w:tr>
      <w:tr>
        <w:trPr/>
        <w:tc>
          <w:tcPr/>
          <w:p>
            <w:pPr/>
            <w:r>
              <w:rPr>
                <w:rFonts w:ascii="Times New Roman" w:hAnsi="Times New Roman" w:eastAsia="Times New Roman" w:cs="Times New Roman"/>
                <w:sz w:val="26"/>
                <w:szCs w:val="26"/>
              </w:rPr>
              <w:t xml:space="preserve">Основни понятия. Етика и морал в организацията. Етично поведение в организацията – основни правила. Етика във взаимоотношенията ръководител-подчинен. </w:t>
            </w:r>
          </w:p>
        </w:tc>
      </w:tr>
      <w:tr>
        <w:trPr/>
        <w:tc>
          <w:tcPr/>
          <w:p>
            <w:pPr/>
            <w:r>
              <w:rPr>
                <w:rFonts w:ascii="Times New Roman" w:hAnsi="Times New Roman" w:eastAsia="Times New Roman" w:cs="Times New Roman"/>
                <w:sz w:val="26"/>
                <w:szCs w:val="26"/>
                <w:b w:val="1"/>
                <w:bCs w:val="1"/>
              </w:rPr>
              <w:t xml:space="preserve">ТЕМА 13. Контролинг система за управление на бизнеса</w:t>
            </w:r>
          </w:p>
        </w:tc>
      </w:tr>
      <w:tr>
        <w:trPr/>
        <w:tc>
          <w:tcPr/>
          <w:p>
            <w:pPr/>
            <w:r>
              <w:rPr>
                <w:rFonts w:ascii="Times New Roman" w:hAnsi="Times New Roman" w:eastAsia="Times New Roman" w:cs="Times New Roman"/>
                <w:sz w:val="26"/>
                <w:szCs w:val="26"/>
              </w:rPr>
              <w:t xml:space="preserve">Еволюция на контролинга във фирмата. Цели на контролинга. Задачи на контролинга. Методологически инструментариум на контролинга. </w:t>
            </w:r>
          </w:p>
        </w:tc>
      </w:tr>
      <w:tr>
        <w:trPr/>
        <w:tc>
          <w:tcPr/>
          <w:p>
            <w:pPr/>
            <w:r>
              <w:rPr>
                <w:rFonts w:ascii="Times New Roman" w:hAnsi="Times New Roman" w:eastAsia="Times New Roman" w:cs="Times New Roman"/>
                <w:sz w:val="26"/>
                <w:szCs w:val="26"/>
                <w:b w:val="1"/>
                <w:bCs w:val="1"/>
              </w:rPr>
              <w:t xml:space="preserve">ТЕМА 14. Видове контролинг</w:t>
            </w:r>
          </w:p>
        </w:tc>
      </w:tr>
      <w:tr>
        <w:trPr/>
        <w:tc>
          <w:tcPr/>
          <w:p>
            <w:pPr/>
            <w:r>
              <w:rPr>
                <w:rFonts w:ascii="Times New Roman" w:hAnsi="Times New Roman" w:eastAsia="Times New Roman" w:cs="Times New Roman"/>
                <w:sz w:val="26"/>
                <w:szCs w:val="26"/>
              </w:rPr>
              <w:t xml:space="preserve">Функционален контролинг. Проектен контролинг. Дивизионен контролинг. Контролингът в структурата на управление. </w:t>
            </w:r>
          </w:p>
        </w:tc>
      </w:tr>
      <w:tr>
        <w:trPr/>
        <w:tc>
          <w:tcPr/>
          <w:p>
            <w:pPr/>
            <w:r>
              <w:rPr>
                <w:rFonts w:ascii="Times New Roman" w:hAnsi="Times New Roman" w:eastAsia="Times New Roman" w:cs="Times New Roman"/>
                <w:sz w:val="26"/>
                <w:szCs w:val="26"/>
                <w:b w:val="1"/>
                <w:bCs w:val="1"/>
              </w:rPr>
              <w:t xml:space="preserve">ТЕМА 15. Управление на фирмата</w:t>
            </w:r>
          </w:p>
        </w:tc>
      </w:tr>
      <w:tr>
        <w:trPr/>
        <w:tc>
          <w:tcPr/>
          <w:p>
            <w:pPr/>
            <w:r>
              <w:rPr>
                <w:rFonts w:ascii="Times New Roman" w:hAnsi="Times New Roman" w:eastAsia="Times New Roman" w:cs="Times New Roman"/>
                <w:sz w:val="26"/>
                <w:szCs w:val="26"/>
              </w:rPr>
              <w:t xml:space="preserve">Специфика на фирменото управление. Видове фирми. Държавна политика по отношение на фирменото управление. </w:t>
            </w:r>
          </w:p>
        </w:tc>
      </w:tr>
      <w:tr>
        <w:trPr/>
        <w:tc>
          <w:tcPr/>
          <w:p>
            <w:pPr/>
            <w:r>
              <w:rPr>
                <w:rFonts w:ascii="Times New Roman" w:hAnsi="Times New Roman" w:eastAsia="Times New Roman" w:cs="Times New Roman"/>
                <w:sz w:val="26"/>
                <w:szCs w:val="26"/>
                <w:b w:val="1"/>
                <w:bCs w:val="1"/>
              </w:rPr>
              <w:t xml:space="preserve">ТЕМА 16. Стратегически, тактически и операционни задачи на управлението на фирмата</w:t>
            </w:r>
          </w:p>
        </w:tc>
      </w:tr>
      <w:tr>
        <w:trPr/>
        <w:tc>
          <w:tcPr/>
          <w:p>
            <w:pPr/>
            <w:r>
              <w:rPr>
                <w:rFonts w:ascii="Times New Roman" w:hAnsi="Times New Roman" w:eastAsia="Times New Roman" w:cs="Times New Roman"/>
                <w:sz w:val="26"/>
                <w:szCs w:val="26"/>
              </w:rPr>
              <w:t xml:space="preserve">Характеристика на стратегическите задачи. Видове тактически задачи. Роля на операционните задачи при управлението  на фирмата.</w:t>
            </w:r>
          </w:p>
        </w:tc>
      </w:tr>
      <w:tr>
        <w:trPr/>
        <w:tc>
          <w:tcPr/>
          <w:p>
            <w:pPr/>
            <w:r>
              <w:rPr>
                <w:rFonts w:ascii="Times New Roman" w:hAnsi="Times New Roman" w:eastAsia="Times New Roman" w:cs="Times New Roman"/>
                <w:sz w:val="26"/>
                <w:szCs w:val="26"/>
                <w:b w:val="1"/>
                <w:bCs w:val="1"/>
              </w:rPr>
              <w:t xml:space="preserve">ТЕМА 17. Икономически цели на фирмата</w:t>
            </w:r>
          </w:p>
        </w:tc>
      </w:tr>
      <w:tr>
        <w:trPr/>
        <w:tc>
          <w:tcPr/>
          <w:p>
            <w:pPr/>
            <w:r>
              <w:rPr>
                <w:rFonts w:ascii="Times New Roman" w:hAnsi="Times New Roman" w:eastAsia="Times New Roman" w:cs="Times New Roman"/>
                <w:sz w:val="26"/>
                <w:szCs w:val="26"/>
              </w:rPr>
              <w:t xml:space="preserve">Видове икономически цели. Конкурентоспособността – фактор за постигане на икономическите цели. Решения във връзка с икономическите цели на фирмата. </w:t>
            </w:r>
          </w:p>
        </w:tc>
      </w:tr>
      <w:tr>
        <w:trPr/>
        <w:tc>
          <w:tcPr/>
          <w:p>
            <w:pPr/>
            <w:r>
              <w:rPr>
                <w:rFonts w:ascii="Times New Roman" w:hAnsi="Times New Roman" w:eastAsia="Times New Roman" w:cs="Times New Roman"/>
                <w:sz w:val="26"/>
                <w:szCs w:val="26"/>
                <w:b w:val="1"/>
                <w:bCs w:val="1"/>
              </w:rPr>
              <w:t xml:space="preserve">ТЕМА 18. Обкръжаваща среда на фирмата</w:t>
            </w:r>
          </w:p>
        </w:tc>
      </w:tr>
      <w:tr>
        <w:trPr/>
        <w:tc>
          <w:tcPr/>
          <w:p>
            <w:pPr/>
            <w:r>
              <w:rPr>
                <w:rFonts w:ascii="Times New Roman" w:hAnsi="Times New Roman" w:eastAsia="Times New Roman" w:cs="Times New Roman"/>
                <w:sz w:val="26"/>
                <w:szCs w:val="26"/>
              </w:rPr>
              <w:t xml:space="preserve">Характеристика на обкръжаващата среда. Елементи на макросредата на организациятa. Елементи на микросредата на организацията.</w:t>
            </w:r>
          </w:p>
        </w:tc>
      </w:tr>
      <w:tr>
        <w:trPr/>
        <w:tc>
          <w:tcPr/>
          <w:p>
            <w:pPr/>
            <w:r>
              <w:rPr>
                <w:rFonts w:ascii="Times New Roman" w:hAnsi="Times New Roman" w:eastAsia="Times New Roman" w:cs="Times New Roman"/>
                <w:sz w:val="26"/>
                <w:szCs w:val="26"/>
                <w:b w:val="1"/>
                <w:bCs w:val="1"/>
              </w:rPr>
              <w:t xml:space="preserve">ТЕМА 19. Управление на малкия бизнес</w:t>
            </w:r>
          </w:p>
        </w:tc>
      </w:tr>
      <w:tr>
        <w:trPr/>
        <w:tc>
          <w:tcPr/>
          <w:p>
            <w:pPr/>
            <w:r>
              <w:rPr>
                <w:rFonts w:ascii="Times New Roman" w:hAnsi="Times New Roman" w:eastAsia="Times New Roman" w:cs="Times New Roman"/>
                <w:sz w:val="26"/>
                <w:szCs w:val="26"/>
              </w:rPr>
              <w:t xml:space="preserve">Същност и характеристика на бизнеса. Теория на фирмата и фирмената организация на бизнеса. Организационен мениджмънт на малкия и среден бизнес.</w:t>
            </w:r>
          </w:p>
        </w:tc>
      </w:tr>
      <w:tr>
        <w:trPr/>
        <w:tc>
          <w:tcPr/>
          <w:p>
            <w:pPr/>
            <w:r>
              <w:rPr>
                <w:rFonts w:ascii="Times New Roman" w:hAnsi="Times New Roman" w:eastAsia="Times New Roman" w:cs="Times New Roman"/>
                <w:sz w:val="26"/>
                <w:szCs w:val="26"/>
                <w:b w:val="1"/>
                <w:bCs w:val="1"/>
              </w:rPr>
              <w:t xml:space="preserve">ТЕМА 20. Социална среда на бизнеса</w:t>
            </w:r>
          </w:p>
        </w:tc>
      </w:tr>
      <w:tr>
        <w:trPr/>
        <w:tc>
          <w:tcPr/>
          <w:p>
            <w:pPr/>
            <w:r>
              <w:rPr>
                <w:rFonts w:ascii="Times New Roman" w:hAnsi="Times New Roman" w:eastAsia="Times New Roman" w:cs="Times New Roman"/>
                <w:sz w:val="26"/>
                <w:szCs w:val="26"/>
              </w:rPr>
              <w:t xml:space="preserve">Същност и характеристика на социалната среда. Външни и вътрешни фактори, влияещи върху социалната среда на бизнеса. </w:t>
            </w:r>
          </w:p>
        </w:tc>
      </w:tr>
      <w:tr>
        <w:trPr/>
        <w:tc>
          <w:tcPr/>
          <w:p>
            <w:pPr/>
            <w:r>
              <w:rPr>
                <w:rFonts w:ascii="Times New Roman" w:hAnsi="Times New Roman" w:eastAsia="Times New Roman" w:cs="Times New Roman"/>
                <w:sz w:val="26"/>
                <w:szCs w:val="26"/>
                <w:b w:val="1"/>
                <w:bCs w:val="1"/>
              </w:rPr>
              <w:t xml:space="preserve">ТЕМА 21. Организационно поведение</w:t>
            </w:r>
          </w:p>
        </w:tc>
      </w:tr>
      <w:tr>
        <w:trPr/>
        <w:tc>
          <w:tcPr/>
          <w:p>
            <w:pPr/>
            <w:r>
              <w:rPr>
                <w:rFonts w:ascii="Times New Roman" w:hAnsi="Times New Roman" w:eastAsia="Times New Roman" w:cs="Times New Roman"/>
                <w:sz w:val="26"/>
                <w:szCs w:val="26"/>
              </w:rPr>
              <w:t xml:space="preserve">Същност на организационното поведение. Цели, предмет и обхват на организационното поведение. Исторически корени на организационното поведение. Подходи на организационното поведение. Фундаментални концепции.</w:t>
            </w:r>
          </w:p>
        </w:tc>
      </w:tr>
      <w:tr>
        <w:trPr/>
        <w:tc>
          <w:tcPr/>
          <w:p>
            <w:pPr/>
            <w:r>
              <w:rPr>
                <w:rFonts w:ascii="Times New Roman" w:hAnsi="Times New Roman" w:eastAsia="Times New Roman" w:cs="Times New Roman"/>
                <w:sz w:val="26"/>
                <w:szCs w:val="26"/>
                <w:b w:val="1"/>
                <w:bCs w:val="1"/>
              </w:rPr>
              <w:t xml:space="preserve">ТЕМА 22. Управленска диагностика</w:t>
            </w:r>
          </w:p>
        </w:tc>
      </w:tr>
      <w:tr>
        <w:trPr/>
        <w:tc>
          <w:tcPr/>
          <w:p>
            <w:pPr/>
            <w:r>
              <w:rPr>
                <w:rFonts w:ascii="Times New Roman" w:hAnsi="Times New Roman" w:eastAsia="Times New Roman" w:cs="Times New Roman"/>
                <w:sz w:val="26"/>
                <w:szCs w:val="26"/>
              </w:rPr>
              <w:t xml:space="preserve">Същност на управленската диагностика. Видове диагностика. Диагностичен инструментариум.</w:t>
            </w:r>
          </w:p>
        </w:tc>
      </w:tr>
      <w:tr>
        <w:trPr/>
        <w:tc>
          <w:tcPr/>
          <w:p>
            <w:pPr/>
            <w:r>
              <w:rPr>
                <w:rFonts w:ascii="Times New Roman" w:hAnsi="Times New Roman" w:eastAsia="Times New Roman" w:cs="Times New Roman"/>
                <w:sz w:val="26"/>
                <w:szCs w:val="26"/>
                <w:b w:val="1"/>
                <w:bCs w:val="1"/>
              </w:rPr>
              <w:t xml:space="preserve">ТЕМА 23. Организационно развитие</w:t>
            </w:r>
          </w:p>
        </w:tc>
      </w:tr>
      <w:tr>
        <w:trPr/>
        <w:tc>
          <w:tcPr/>
          <w:p>
            <w:pPr/>
            <w:r>
              <w:rPr>
                <w:rFonts w:ascii="Times New Roman" w:hAnsi="Times New Roman" w:eastAsia="Times New Roman" w:cs="Times New Roman"/>
                <w:sz w:val="26"/>
                <w:szCs w:val="26"/>
              </w:rPr>
              <w:t xml:space="preserve">Същност на организационното развитие. Предпоставки. Принципи на организационното развитие. </w:t>
            </w:r>
          </w:p>
        </w:tc>
      </w:tr>
      <w:tr>
        <w:trPr/>
        <w:tc>
          <w:tcPr/>
          <w:p>
            <w:pPr/>
            <w:r>
              <w:rPr>
                <w:rFonts w:ascii="Times New Roman" w:hAnsi="Times New Roman" w:eastAsia="Times New Roman" w:cs="Times New Roman"/>
                <w:sz w:val="26"/>
                <w:szCs w:val="26"/>
                <w:b w:val="1"/>
                <w:bCs w:val="1"/>
              </w:rPr>
              <w:t xml:space="preserve">ТЕМА 24. Управленско консултиране</w:t>
            </w:r>
          </w:p>
        </w:tc>
      </w:tr>
      <w:tr>
        <w:trPr/>
        <w:tc>
          <w:tcPr/>
          <w:p>
            <w:pPr/>
            <w:r>
              <w:rPr>
                <w:rFonts w:ascii="Times New Roman" w:hAnsi="Times New Roman" w:eastAsia="Times New Roman" w:cs="Times New Roman"/>
                <w:sz w:val="26"/>
                <w:szCs w:val="26"/>
              </w:rPr>
              <w:t xml:space="preserve">Дефиниране на управленското консултиране. Принципи на консултирането. Организация на процеса на консултирането. Модели на консултиране.</w:t>
            </w:r>
          </w:p>
        </w:tc>
      </w:tr>
      <w:tr>
        <w:trPr/>
        <w:tc>
          <w:tcPr/>
          <w:p>
            <w:pPr/>
            <w:r>
              <w:rPr>
                <w:rFonts w:ascii="Times New Roman" w:hAnsi="Times New Roman" w:eastAsia="Times New Roman" w:cs="Times New Roman"/>
                <w:sz w:val="26"/>
                <w:szCs w:val="26"/>
                <w:b w:val="1"/>
                <w:bCs w:val="1"/>
              </w:rPr>
              <w:t xml:space="preserve">ТЕМА 25. Управление на конфликти</w:t>
            </w:r>
          </w:p>
        </w:tc>
      </w:tr>
      <w:tr>
        <w:trPr/>
        <w:tc>
          <w:tcPr/>
          <w:p>
            <w:pPr/>
            <w:r>
              <w:rPr>
                <w:rFonts w:ascii="Times New Roman" w:hAnsi="Times New Roman" w:eastAsia="Times New Roman" w:cs="Times New Roman"/>
                <w:sz w:val="26"/>
                <w:szCs w:val="26"/>
              </w:rPr>
              <w:t xml:space="preserve">Конфликтите в организацията. Причини за конфликти в управлението и умения за справяне. Стилове на поведение при възникване на конфликт. </w:t>
            </w:r>
          </w:p>
        </w:tc>
      </w:tr>
      <w:tr>
        <w:trPr/>
        <w:tc>
          <w:tcPr/>
          <w:p>
            <w:pPr/>
            <w:r>
              <w:rPr>
                <w:rFonts w:ascii="Times New Roman" w:hAnsi="Times New Roman" w:eastAsia="Times New Roman" w:cs="Times New Roman"/>
                <w:sz w:val="26"/>
                <w:szCs w:val="26"/>
                <w:b w:val="1"/>
                <w:bCs w:val="1"/>
              </w:rPr>
              <w:t xml:space="preserve">ТЕМА 26. Мотивация в управлението</w:t>
            </w:r>
          </w:p>
        </w:tc>
      </w:tr>
      <w:tr>
        <w:trPr/>
        <w:tc>
          <w:tcPr/>
          <w:p>
            <w:pPr/>
            <w:r>
              <w:rPr>
                <w:rFonts w:ascii="Times New Roman" w:hAnsi="Times New Roman" w:eastAsia="Times New Roman" w:cs="Times New Roman"/>
                <w:sz w:val="26"/>
                <w:szCs w:val="26"/>
              </w:rPr>
              <w:t xml:space="preserve">Същност на мотивацията. Мотивационен процес и мотивационни модели. Мотивационни теории. </w:t>
            </w:r>
          </w:p>
        </w:tc>
      </w:tr>
      <w:tr>
        <w:trPr/>
        <w:tc>
          <w:tcPr/>
          <w:p>
            <w:pPr/>
            <w:r>
              <w:rPr>
                <w:rFonts w:ascii="Times New Roman" w:hAnsi="Times New Roman" w:eastAsia="Times New Roman" w:cs="Times New Roman"/>
                <w:sz w:val="26"/>
                <w:szCs w:val="26"/>
                <w:b w:val="1"/>
                <w:bCs w:val="1"/>
              </w:rPr>
              <w:t xml:space="preserve">ТЕМА 27. Организационна култура</w:t>
            </w:r>
          </w:p>
        </w:tc>
      </w:tr>
      <w:tr>
        <w:trPr/>
        <w:tc>
          <w:tcPr/>
          <w:p>
            <w:pPr/>
            <w:r>
              <w:rPr>
                <w:rFonts w:ascii="Times New Roman" w:hAnsi="Times New Roman" w:eastAsia="Times New Roman" w:cs="Times New Roman"/>
                <w:sz w:val="26"/>
                <w:szCs w:val="26"/>
              </w:rPr>
              <w:t xml:space="preserve">Същност на организационната култура. Типове организационна култура. Модели за изучаване и управление на организационната култура. Диагностициране на организационната култура.</w:t>
            </w:r>
          </w:p>
        </w:tc>
      </w:tr>
      <w:tr>
        <w:trPr/>
        <w:tc>
          <w:tcPr/>
          <w:p>
            <w:pPr/>
            <w:r>
              <w:rPr>
                <w:rFonts w:ascii="Times New Roman" w:hAnsi="Times New Roman" w:eastAsia="Times New Roman" w:cs="Times New Roman"/>
                <w:sz w:val="26"/>
                <w:szCs w:val="26"/>
                <w:b w:val="1"/>
                <w:bCs w:val="1"/>
              </w:rPr>
              <w:t xml:space="preserve">ТЕМА 28. Стратегическо управление</w:t>
            </w:r>
          </w:p>
        </w:tc>
      </w:tr>
      <w:tr>
        <w:trPr/>
        <w:tc>
          <w:tcPr/>
          <w:p>
            <w:pPr/>
            <w:r>
              <w:rPr>
                <w:rFonts w:ascii="Times New Roman" w:hAnsi="Times New Roman" w:eastAsia="Times New Roman" w:cs="Times New Roman"/>
                <w:sz w:val="26"/>
                <w:szCs w:val="26"/>
              </w:rPr>
              <w:t xml:space="preserve">Концепция за стратегическото управление. Особености и етапи на процеса на стратегическото управление. Видове стратегии. Тенденции в развитието на стратегическото управление.</w:t>
            </w:r>
          </w:p>
        </w:tc>
      </w:tr>
      <w:tr>
        <w:trPr/>
        <w:tc>
          <w:tcPr/>
          <w:p>
            <w:pPr/>
            <w:r>
              <w:rPr>
                <w:rFonts w:ascii="Times New Roman" w:hAnsi="Times New Roman" w:eastAsia="Times New Roman" w:cs="Times New Roman"/>
                <w:sz w:val="26"/>
                <w:szCs w:val="26"/>
                <w:b w:val="1"/>
                <w:bCs w:val="1"/>
              </w:rPr>
              <w:t xml:space="preserve">ТЕМА 29. Методи и модели за стратегически анализ във фирмения мениджмънт</w:t>
            </w:r>
          </w:p>
        </w:tc>
      </w:tr>
      <w:tr>
        <w:trPr/>
        <w:tc>
          <w:tcPr/>
          <w:p>
            <w:pPr/>
            <w:r>
              <w:rPr>
                <w:rFonts w:ascii="Times New Roman" w:hAnsi="Times New Roman" w:eastAsia="Times New Roman" w:cs="Times New Roman"/>
                <w:sz w:val="26"/>
                <w:szCs w:val="26"/>
              </w:rPr>
              <w:t xml:space="preserve">Същност и елементи на стратегическия анализ. Анализ и избор на стратегическа позиция. Основни методи при ситуационния анализ. Модели за избор на стратегии.</w:t>
            </w:r>
          </w:p>
        </w:tc>
      </w:tr>
      <w:tr>
        <w:trPr/>
        <w:tc>
          <w:tcPr/>
          <w:p>
            <w:pPr/>
            <w:r>
              <w:rPr>
                <w:rFonts w:ascii="Times New Roman" w:hAnsi="Times New Roman" w:eastAsia="Times New Roman" w:cs="Times New Roman"/>
                <w:sz w:val="26"/>
                <w:szCs w:val="26"/>
                <w:b w:val="1"/>
                <w:bCs w:val="1"/>
              </w:rPr>
              <w:t xml:space="preserve">ТЕМА 30. Бизнесстратегии във фирмата</w:t>
            </w:r>
          </w:p>
        </w:tc>
      </w:tr>
      <w:tr>
        <w:trPr/>
        <w:tc>
          <w:tcPr/>
          <w:p>
            <w:pPr/>
            <w:r>
              <w:rPr>
                <w:rFonts w:ascii="Times New Roman" w:hAnsi="Times New Roman" w:eastAsia="Times New Roman" w:cs="Times New Roman"/>
                <w:sz w:val="26"/>
                <w:szCs w:val="26"/>
              </w:rPr>
              <w:t xml:space="preserve">Същност на стратегическото управление и развитие на организацията. Процесът по разработване на стратегии за развитие на организацията. Методически основи на стратегическия анализ на дейността на организацията.</w:t>
            </w:r>
          </w:p>
        </w:tc>
      </w:tr>
      <w:tr>
        <w:trPr/>
        <w:tc>
          <w:tcPr/>
          <w:p>
            <w:pPr/>
            <w:r>
              <w:rPr>
                <w:rFonts w:ascii="Times New Roman" w:hAnsi="Times New Roman" w:eastAsia="Times New Roman" w:cs="Times New Roman"/>
                <w:sz w:val="26"/>
                <w:szCs w:val="26"/>
                <w:b w:val="1"/>
                <w:bCs w:val="1"/>
              </w:rPr>
              <w:t xml:space="preserve">ТЕМА 31. Управление на риска във фирмата</w:t>
            </w:r>
          </w:p>
        </w:tc>
      </w:tr>
      <w:tr>
        <w:trPr/>
        <w:tc>
          <w:tcPr/>
          <w:p>
            <w:pPr/>
            <w:r>
              <w:rPr>
                <w:rFonts w:ascii="Times New Roman" w:hAnsi="Times New Roman" w:eastAsia="Times New Roman" w:cs="Times New Roman"/>
                <w:sz w:val="26"/>
                <w:szCs w:val="26"/>
              </w:rPr>
              <w:t xml:space="preserve">Дефиниране на неопределеността и риска. Класификация на видовете риск. Предвиждане на бъдещия риск.</w:t>
            </w:r>
          </w:p>
        </w:tc>
      </w:tr>
      <w:tr>
        <w:trPr/>
        <w:tc>
          <w:tcPr/>
          <w:p>
            <w:pPr/>
            <w:r>
              <w:rPr>
                <w:rFonts w:ascii="Times New Roman" w:hAnsi="Times New Roman" w:eastAsia="Times New Roman" w:cs="Times New Roman"/>
                <w:sz w:val="26"/>
                <w:szCs w:val="26"/>
                <w:b w:val="1"/>
                <w:bCs w:val="1"/>
              </w:rPr>
              <w:t xml:space="preserve">ТЕМА 32. Оценка на бизнесриска</w:t>
            </w:r>
          </w:p>
        </w:tc>
      </w:tr>
      <w:tr>
        <w:trPr/>
        <w:tc>
          <w:tcPr/>
          <w:p>
            <w:pPr/>
            <w:r>
              <w:rPr>
                <w:rFonts w:ascii="Times New Roman" w:hAnsi="Times New Roman" w:eastAsia="Times New Roman" w:cs="Times New Roman"/>
                <w:sz w:val="26"/>
                <w:szCs w:val="26"/>
              </w:rPr>
              <w:t xml:space="preserve">Методи за оценка на риска. Изисквания. Фактори при избора на метод за оценка на риска контрол и самооценка на риска в организациите техники за идентификация, анализ и оценка на риска.</w:t>
            </w:r>
          </w:p>
        </w:tc>
      </w:tr>
      <w:tr>
        <w:trPr/>
        <w:tc>
          <w:tcPr/>
          <w:p>
            <w:pPr/>
            <w:r>
              <w:rPr>
                <w:rFonts w:ascii="Times New Roman" w:hAnsi="Times New Roman" w:eastAsia="Times New Roman" w:cs="Times New Roman"/>
                <w:sz w:val="26"/>
                <w:szCs w:val="26"/>
                <w:b w:val="1"/>
                <w:bCs w:val="1"/>
              </w:rPr>
              <w:t xml:space="preserve">ТЕМА 33. Антикризисно управление</w:t>
            </w:r>
          </w:p>
        </w:tc>
      </w:tr>
      <w:tr>
        <w:trPr/>
        <w:tc>
          <w:tcPr/>
          <w:p>
            <w:pPr/>
            <w:r>
              <w:rPr>
                <w:rFonts w:ascii="Times New Roman" w:hAnsi="Times New Roman" w:eastAsia="Times New Roman" w:cs="Times New Roman"/>
                <w:sz w:val="26"/>
                <w:szCs w:val="26"/>
              </w:rPr>
              <w:t xml:space="preserve">Същност на управлението при кризи. Идентифициране на потенциалните кризи. Организационни механизми за превенция на кризите. Методи за преодоляване на последствията от кризи.</w:t>
            </w:r>
          </w:p>
        </w:tc>
      </w:tr>
      <w:tr>
        <w:trPr/>
        <w:tc>
          <w:tcPr/>
          <w:p>
            <w:pPr/>
            <w:r>
              <w:rPr>
                <w:rFonts w:ascii="Times New Roman" w:hAnsi="Times New Roman" w:eastAsia="Times New Roman" w:cs="Times New Roman"/>
                <w:sz w:val="26"/>
                <w:szCs w:val="26"/>
                <w:b w:val="1"/>
                <w:bCs w:val="1"/>
              </w:rPr>
              <w:t xml:space="preserve">ТЕМА 34. Управленска политика</w:t>
            </w:r>
          </w:p>
        </w:tc>
      </w:tr>
      <w:tr>
        <w:trPr/>
        <w:tc>
          <w:tcPr/>
          <w:p>
            <w:pPr/>
            <w:r>
              <w:rPr>
                <w:rFonts w:ascii="Times New Roman" w:hAnsi="Times New Roman" w:eastAsia="Times New Roman" w:cs="Times New Roman"/>
                <w:sz w:val="26"/>
                <w:szCs w:val="26"/>
              </w:rPr>
              <w:t xml:space="preserve">Управленската политика – същност и особености. Съдържание на управленската политика Управленска политика, мисия и визия на организацията. Изисквания към мисията на организацията.</w:t>
            </w:r>
          </w:p>
        </w:tc>
      </w:tr>
      <w:tr>
        <w:trPr/>
        <w:tc>
          <w:tcPr/>
          <w:p>
            <w:pPr/>
            <w:r>
              <w:rPr>
                <w:rFonts w:ascii="Times New Roman" w:hAnsi="Times New Roman" w:eastAsia="Times New Roman" w:cs="Times New Roman"/>
                <w:sz w:val="26"/>
                <w:szCs w:val="26"/>
                <w:b w:val="1"/>
                <w:bCs w:val="1"/>
              </w:rPr>
              <w:t xml:space="preserve">ТЕМА 35. Управление на кариерата</w:t>
            </w:r>
          </w:p>
        </w:tc>
      </w:tr>
      <w:tr>
        <w:trPr/>
        <w:tc>
          <w:tcPr/>
          <w:p>
            <w:pPr/>
            <w:r>
              <w:rPr>
                <w:rFonts w:ascii="Times New Roman" w:hAnsi="Times New Roman" w:eastAsia="Times New Roman" w:cs="Times New Roman"/>
                <w:sz w:val="26"/>
                <w:szCs w:val="26"/>
              </w:rPr>
              <w:t xml:space="preserve">Кариерен мениджмънт и кариерно управление. „Кариера“ - концепции и същност. Развитие на кариерата - модел, етапи и подходи на управление. </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и др. Мениджмънт. Академично издателство „Ценов“, Свищов.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и др. Управленски аспекти на организацията, Свищов: АИ Ценов,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Мениджмънт на фирмата – теория и практика – І част, изд. Абагар, В. Търново.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Мениджмънт на фирмата – теория и практика – ІІ част, изд. Абагар, В. Търново.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Асенов, А. Управление на продажбите, ЕВУИМ (EHSEM Publishing).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Асенов, А., И. Емилова. Управление и поведение в организациите. Абагар, В. Търново. 2011.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Асенов, А., Организационен мениджмънт и ефективност, Сливен.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Асенов, А., С. Стоянова. Лидерство и ръководство, Фабер.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Асенов, А., С. Стоянова. Мениджмънт и бизнес. Фабер.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Асенов, А., С. Стоянова. Организационен мениджмънт, Фабер.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Асенов, А., С. Стоянова. Организационно развитие, Фабер.</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Асенов, А., С. Стоянова. Управление на бизнеса, Фабер.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Асенов, А., Ц. Дилков, М. Динков. Управленска диагностика, Фабер.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Асенов, А., Ц. Дилков,  И. Емилова. Теория на управлението, АИ Ценов.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Дилков, Ц. Бизнесриск.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Дилков, Ц. Бизнесстратегии.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Дилков, Ц. Управление на риска.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Дилков, Ц. Управленско консултиране. Свищов, “Стопански свят”. 2006.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Емилова, И., Х. Сирашки. Поведение в управлението. Академично издателство „Ценов“, Свищов. 2016.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Емилова, И., Х. Сирашки. Фирмена култура. Второ допълнено и преработено издание, Академично издателство „Ценов“, Свищов.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Сирашки, Х. Мотивация, Свищов, АИ Ценов.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Сирашки, Х. Стратегическо управление, Свищов, АИ Ценов.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Сирашки, Х. Управление на фирмата, Свищов, АИ Ценов.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Сирашки, Х., И. Емилова. Организационно поведение. Академично издателство „Ценов“, Свищов. 2018.</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Милен Динков)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